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10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LUIS CORTES MUÑOZ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5.607.999-8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31/08/2023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/0</w:t>
      </w: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HIPEROSMOLARIDAD E HIPERNATREMIA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UTI con dg antes descrito para atenciones de enfermería (adm de TTO ATB Ev- Curaciones simples) y kinesioterapia motora. Durante visita de enfermería para ingreso se pesquisa flictena talar derecha de 3x2cm la cual se decide drenar y vigilar cada 72hrs junto con la curación simple de abdomen a raíz de herida Op por colecistectomía. Durante los dias posteriores se “destecha” flictena la cual inicialmente presenta evolución tórpida con tejido necrótico en bordes.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 de 1.5cm de diámetro, con 90% tejido granulado, resto esfacelo. Se mantiene en curaciones dos veces por semana con uso de prontosan gel + DACC. Se sugiere continuar curaciones cada 72hrs</w:t>
      </w:r>
    </w:p>
    <w:p w:rsidR="00000000" w:rsidDel="00000000" w:rsidP="00000000" w:rsidRDefault="00000000" w:rsidRPr="00000000" w14:paraId="0000000D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2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0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7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7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5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7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9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8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10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10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1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3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5816600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4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5816600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6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talar derecha </w:t>
      </w:r>
      <w:r w:rsidDel="00000000" w:rsidR="00000000" w:rsidRPr="00000000">
        <w:rPr>
          <w:rtl w:val="0"/>
        </w:rPr>
        <w:t xml:space="preserve"> Jane1970.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7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7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8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099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8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8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9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0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11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13431011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2amR8M+artPiPgVlU0KuhbZQqg==">CgMxLjA4AHIhMUJrNDhVNFZiNlFaQUgtYUI3VnEyTDlTa2FqRUIzalo1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