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LUIS RUIZ RUIZ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7.133.587-9</w:t>
      </w: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26-07-2025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01-08-2025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NEUMONÍA 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SEGUiMIENTO REHABILITACIÓN Y ADMINISTRACIÓN DE TTO SC POR  DIAGNÓSTICO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SACRA GII</w:t>
      </w:r>
      <w:r w:rsidDel="00000000" w:rsidR="00000000" w:rsidRPr="00000000">
        <w:rPr>
          <w:sz w:val="24"/>
          <w:szCs w:val="24"/>
          <w:rtl w:val="0"/>
        </w:rPr>
        <w:t xml:space="preserve">: LESIÓN DE 3X1 CM SUPERFICIAL, EXUDDAO SEROSO, ESCASA CANTIDAD,, TEJIDO ESFACELADO 90%, GRANULATORIO 10%. LPP CALCÁNEO DERECHO GII: 6X3 CM, EXUDADO SEROSO ESCASA CANTIDAD,, TEJIDO ESFACELO 70%, 10% GRANULATORIO, 20% NECROSIS HUMEDA.  SE DERIVA PARA CURACIÓN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12700</wp:posOffset>
                </wp:positionV>
                <wp:extent cx="996415" cy="895350"/>
                <wp:effectExtent b="0" l="0" r="0" t="0"/>
                <wp:wrapNone/>
                <wp:docPr id="5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12700</wp:posOffset>
                </wp:positionV>
                <wp:extent cx="996415" cy="895350"/>
                <wp:effectExtent b="0" l="0" r="0" t="0"/>
                <wp:wrapNone/>
                <wp:docPr id="5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415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12700</wp:posOffset>
                </wp:positionV>
                <wp:extent cx="992948" cy="892272"/>
                <wp:effectExtent b="0" l="0" r="0" t="0"/>
                <wp:wrapNone/>
                <wp:docPr id="5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12700</wp:posOffset>
                </wp:positionV>
                <wp:extent cx="992948" cy="892272"/>
                <wp:effectExtent b="0" l="0" r="0" t="0"/>
                <wp:wrapNone/>
                <wp:docPr id="5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948" cy="8922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RfS74gGbWYSK/+Y971za1AaOQ==">CgMxLjA4AHIhMWpRTzloODdUSW5wSEx5bDN6QTA5ZjNncEZNbDIwOC1M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