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-415198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50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MARIA ALARCÓN INZUNZA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10.001.107-7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16-03-26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05-04.26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FÉMUR DERECHA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KINESIOTERAPIA Y CURACIONES. EN VISITA DE INGRESO SE OBSERVA LESIÓN EI DERECHA: LESIONES MÚLTIPLES DE 1 Y 2 CM, RODILLA LESIÓN DE 5 CM, AFRONTADAS CON GRAPAS, EXUDADOS SEROSO MODERADA CANTIDAD EN ZONA LATERAL. PRESENTA PROTRUSIÓN Y DEHISCENCIA EN LESIONES ZONA MEDIAL. DIA 05-04 SE REALIZA RETIRO DE GRAPAS. SE REALIZA DERIVACIÓN PARA CURACIONES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3571875</wp:posOffset>
                </wp:positionH>
                <wp:positionV relativeFrom="paragraph">
                  <wp:posOffset>76200</wp:posOffset>
                </wp:positionV>
                <wp:extent cx="904875" cy="790575"/>
                <wp:effectExtent b="0" l="0" r="0" t="0"/>
                <wp:wrapNone/>
                <wp:docPr id="50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3571875</wp:posOffset>
                </wp:positionH>
                <wp:positionV relativeFrom="paragraph">
                  <wp:posOffset>76200</wp:posOffset>
                </wp:positionV>
                <wp:extent cx="904875" cy="790575"/>
                <wp:effectExtent b="0" l="0" r="0" t="0"/>
                <wp:wrapNone/>
                <wp:docPr id="50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76200</wp:posOffset>
                </wp:positionV>
                <wp:extent cx="904875" cy="790575"/>
                <wp:effectExtent b="0" l="0" r="0" t="0"/>
                <wp:wrapNone/>
                <wp:docPr id="50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76200</wp:posOffset>
                </wp:positionV>
                <wp:extent cx="904875" cy="790575"/>
                <wp:effectExtent b="0" l="0" r="0" t="0"/>
                <wp:wrapNone/>
                <wp:docPr id="50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ECCvsoYXF1Ea83xvH8yvyZwPKg==">CgMxLjA4AHIhMWNSdHcwZUtCMFVkWFliWUFKSmc4a2lubVJEZ0xyZXRU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