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REGINA MIRANDA MIRANDA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93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3.502.460-3</w:t>
        <w:tab/>
        <w:tab/>
        <w:t xml:space="preserve">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QUILLÒN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02/08/2024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09/08/2024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ACV ISQUÉMICO 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CURACIÓN AVANZADA, REHABILITACIÒN KINÉSICA Y FONOAUDIOLÓGICA. EN VISITA DE INGRESO SE EVIDENCIA LESIÒN EROSIVA TOBILLO IZQUIERDO DE 3X2 CM, 0.3 CM DE PROFUNDIDAD, SIN SIGNOS DE INFECCIÒN, EXUDADO MODERADA CANTIDAD SEROHEMÁTICA, TEJIDO 90% ESFACELO 10% GRANULATORIO.  SE DERIVA PARA CONTINUAR CURACIONES, PERIODICIDAD SEGÙN EVOLUCIÒN.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TOBILLO IZQUIERDO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2Qr74F9Z0Ij/vbWnsMiEi5XbMQ==">CgMxLjA4AHIhMWZ3UUhlLWpqV1daNVFLQWY4ZjNMUGpRRmZzRlQ3R1cy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