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6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RICARDO ORELLANA MANRIQUEZ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57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10.475.513-5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sz w:val="24"/>
          <w:szCs w:val="24"/>
          <w:rtl w:val="0"/>
        </w:rPr>
        <w:t xml:space="preserve"> DURÁN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19-07-2024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26/07/2024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AMPUTACIÒN INFRACONDILEA IZQUIERDA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CON DIAGNÓSTICO ANTES DESCRITO PARA CURACIONES POR ENFERMERÍA Y REHABILITACIÓN KINÉSICA.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VISITA DE INGRESO SE PESQUISA HERIDA OPERATORIA DE 25 CM APROX, AFRONTADA CON GRAPAS, ERITEMATOSA, EXUDADO ESCASO SEROSO. SE DERIVA APS PARA CONTINUAR CURACIONES 2-3 VECES POR SEMANA SEGÚN EVOLUCIÓN HASTA RETIRO DE GRAPAS, PENDIENTE INDICAR, CONTROL CX 31.07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EII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           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3324225</wp:posOffset>
                </wp:positionH>
                <wp:positionV relativeFrom="paragraph">
                  <wp:posOffset>152400</wp:posOffset>
                </wp:positionV>
                <wp:extent cx="457200" cy="342900"/>
                <wp:effectExtent b="0" l="0" r="0" t="0"/>
                <wp:wrapNone/>
                <wp:docPr id="36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3324225</wp:posOffset>
                </wp:positionH>
                <wp:positionV relativeFrom="paragraph">
                  <wp:posOffset>152400</wp:posOffset>
                </wp:positionV>
                <wp:extent cx="457200" cy="342900"/>
                <wp:effectExtent b="0" l="0" r="0" t="0"/>
                <wp:wrapNone/>
                <wp:docPr id="36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152400</wp:posOffset>
                </wp:positionV>
                <wp:extent cx="457200" cy="342900"/>
                <wp:effectExtent b="0" l="0" r="0" t="0"/>
                <wp:wrapNone/>
                <wp:docPr id="36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152400</wp:posOffset>
                </wp:positionV>
                <wp:extent cx="457200" cy="342900"/>
                <wp:effectExtent b="0" l="0" r="0" t="0"/>
                <wp:wrapNone/>
                <wp:docPr id="36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M7/x9yr05Prk8qQHVN2VG2m5+g==">CgMxLjA4AHIhMWJ4VmYxaHhGMndfa1NCZ2tyRWJWdzZoWWpydXZmUE9Z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