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STEPHANIE MUÑOZ RAMIREZ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37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16.389.495-5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24/11/2023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18/12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OSTEOMIELITIS AGUDA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a derivada desde servicio de traumatología para completar TTO ATB EV en domicilio más curaciones simples en 3 MTC mano derecha con retiro de suturas para el 07/12 en programación. Se registra en sistema cultivo corriente del 14/11 (+) a EIKINELLA CORRODENS.</w:t>
      </w:r>
    </w:p>
    <w:p w:rsidR="00000000" w:rsidDel="00000000" w:rsidP="00000000" w:rsidRDefault="00000000" w:rsidRPr="00000000" w14:paraId="0000000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En domicilio se ADM TTO ATB  EV SIM y se realizan curaciones. Presenta lesión de 6 cm con presencia de sutura discontinua y sin evidencia de dehiscencia, sin salida de secreción a la compresión y con piel perilesional indemne. Durante curaciones simples con pincelamiento con Clorhexidina tópica, presenta evolución tórpida. Posteriormente, el 07/12 acude a control con TMT donde se retiran suturas observándose dehiscencia en porción media-proximal por lo cual se vuelve a suturar y recontrola a la semana siguiente donde médico decide traslape a TTO ATB VO, y evidencia nueva dehiscencia de 3mm ancho x 5mm largo con exposición profunda (descrito en registro de atención médica), con lo cual se instalan dos puntos de NYLON en segmento dehiscente. </w:t>
      </w:r>
    </w:p>
    <w:p w:rsidR="00000000" w:rsidDel="00000000" w:rsidP="00000000" w:rsidRDefault="00000000" w:rsidRPr="00000000" w14:paraId="0000000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Se sugiere continuar curaciones simples 2-3 veces por semana a recomendación médica</w:t>
      </w:r>
    </w:p>
    <w:p w:rsidR="00000000" w:rsidDel="00000000" w:rsidP="00000000" w:rsidRDefault="00000000" w:rsidRPr="00000000" w14:paraId="0000000E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190500</wp:posOffset>
                </wp:positionV>
                <wp:extent cx="285750" cy="17145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190500</wp:posOffset>
                </wp:positionV>
                <wp:extent cx="285750" cy="171450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mano derecha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2MmeiGFhDQoz1RoOteJyg/IK9g==">CgMxLjA4AHIhMXRCX3dqeGJVWXB4MV9tU3ZVNDBIb29wYmF6MXZLZ25h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