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7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TRINIDAD RIQUELME ACUÑA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83 AÑOS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8.177.130-8</w:t>
      </w: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sz w:val="24"/>
          <w:szCs w:val="24"/>
          <w:rtl w:val="0"/>
        </w:rPr>
        <w:t xml:space="preserve"> DURÁN TRUJILLO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14/04/2024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sz w:val="24"/>
          <w:szCs w:val="24"/>
          <w:rtl w:val="0"/>
        </w:rPr>
        <w:t xml:space="preserve"> 19/04/2024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sz w:val="24"/>
          <w:szCs w:val="24"/>
          <w:rtl w:val="0"/>
        </w:rPr>
        <w:t xml:space="preserve">  ITU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Usuaria ingresa a HODOM HSC con diagnóstico antes mencionado para administración de tto ATB y curaciones . En visita se evidencia ulcera venosa en EII , con escasa cantidad de exudado seroso, placa necrótica 100%, de 1 cm aprox, se maneja curación interdiaria con tull y prontosan gel, sin signos de infección. Se sugiere continuar con curaciones 2-3 veces por semana.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VVP SI         NO           ...…………………………………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4114800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:SI          NO:       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1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EXTREMIDAD INFERIOR IZQUIERDA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LPP: I           II           III  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PIE DIABÉTICO WAGNER I           II           III           IV   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4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         NO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         NO 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5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6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0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2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7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rjhAC2bOVhgnl/SmGUaQRA7ew==">CgMxLjA4AHIhMTMtU3lhQmNvVEdhUy1WOUE4eGRYT1RCU0JUQ3lSdUxi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