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-415282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ENFERMERIA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VALORACION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VALERIO APARICIO APARICIO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70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7.171.486-1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 xml:space="preserve">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CESFAM 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DURÁN TRUJILLO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03/01/2023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17/01/2024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ingresa a HODOM HSC</w:t>
      </w:r>
      <w:r w:rsidDel="00000000" w:rsidR="00000000" w:rsidRPr="00000000">
        <w:rPr>
          <w:sz w:val="24"/>
          <w:szCs w:val="24"/>
          <w:rtl w:val="0"/>
        </w:rPr>
        <w:t xml:space="preserve"> derivado desde UE con Dg antes descrito para seguimiento de rehabilitación kinésica y por fonoaudiólogo. Durante visita de enfermería se pesquisa lesión por presión en glúteo I° grado II de 2 x 1 cm de extensión, superficial, 80% esfacelo, 20% granulatoria, sin signos de infección, descubierta (tipo y cantidad de exudado no cuantificable). Se programa curación cada 48 hrs en inicio traspasando a 72 hrs, con evolución favorable a pesar del poco tiempo de manejo, actualmente lesión de 1 x 1,5 cm aprox 100% </w:t>
      </w:r>
      <w:r w:rsidDel="00000000" w:rsidR="00000000" w:rsidRPr="00000000">
        <w:rPr>
          <w:sz w:val="24"/>
          <w:szCs w:val="24"/>
          <w:rtl w:val="0"/>
        </w:rPr>
        <w:t xml:space="preserve">granulatoria</w:t>
      </w:r>
      <w:r w:rsidDel="00000000" w:rsidR="00000000" w:rsidRPr="00000000">
        <w:rPr>
          <w:sz w:val="24"/>
          <w:szCs w:val="24"/>
          <w:rtl w:val="0"/>
        </w:rPr>
        <w:t xml:space="preserve">, se realizan curaciones con DACC con buena respuesta, se sugiere continuar con curaciones 2-3 veces por semana. </w:t>
      </w:r>
    </w:p>
    <w:p w:rsidR="00000000" w:rsidDel="00000000" w:rsidP="00000000" w:rsidRDefault="00000000" w:rsidRPr="00000000" w14:paraId="0000000C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3746500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3746500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4241800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4241800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4127500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4127500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4660900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4660900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3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4013200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4013200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5257800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5257800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2425700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2425700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</w:t>
      </w:r>
      <w:r w:rsidDel="00000000" w:rsidR="00000000" w:rsidRPr="00000000">
        <w:rPr>
          <w:rtl w:val="0"/>
        </w:rPr>
        <w:t xml:space="preserve">SACRA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1892300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1892300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2311400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2311400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2755900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2755900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3213100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3213100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3632200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3632200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3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3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3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KozzdtQQSMVcgg0sSqIEFCgIOw==">CgMxLjA4AHIhMWZZUktOUVpyOGYyVXFkSHhrRGZ1NjV5M1dQOVRzQmlD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