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57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VICTOR BUCAREY FLORES   </w:t>
        <w:tab/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7.962.114-5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13-05-2024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21/05/2024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AMPUTACIÓN SUPRACONDÍLEA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antibioterapia y curaciones. En visita de ingreso se pesquisa amputación supracondílea derecha, lesión de 20 cm aprox, con afrontamiento con grapas, sin signos de infección, edema (++), abundante exudado hemático.  En manejo con curación diaria. Se sugiere continuar con la curación diaria,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6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6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6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6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254000</wp:posOffset>
                </wp:positionV>
                <wp:extent cx="457200" cy="342900"/>
                <wp:effectExtent b="0" l="0" r="0" t="0"/>
                <wp:wrapNone/>
                <wp:docPr id="57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254000</wp:posOffset>
                </wp:positionV>
                <wp:extent cx="457200" cy="342900"/>
                <wp:effectExtent b="0" l="0" r="0" t="0"/>
                <wp:wrapNone/>
                <wp:docPr id="57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7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7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5511800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3009900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279400</wp:posOffset>
                </wp:positionV>
                <wp:extent cx="457200" cy="342900"/>
                <wp:effectExtent b="0" l="0" r="0" t="0"/>
                <wp:wrapNone/>
                <wp:docPr id="56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241300</wp:posOffset>
                </wp:positionV>
                <wp:extent cx="457200" cy="342900"/>
                <wp:effectExtent b="0" l="0" r="0" t="0"/>
                <wp:wrapNone/>
                <wp:docPr id="56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6146800</wp:posOffset>
                </wp:positionH>
                <wp:positionV relativeFrom="paragraph">
                  <wp:posOffset>241300</wp:posOffset>
                </wp:positionV>
                <wp:extent cx="457200" cy="342900"/>
                <wp:effectExtent b="0" l="0" r="0" t="0"/>
                <wp:wrapNone/>
                <wp:docPr id="56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241300</wp:posOffset>
                </wp:positionV>
                <wp:extent cx="457200" cy="342900"/>
                <wp:effectExtent b="0" l="0" r="0" t="0"/>
                <wp:wrapNone/>
                <wp:docPr id="56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241300</wp:posOffset>
                </wp:positionV>
                <wp:extent cx="457200" cy="342900"/>
                <wp:effectExtent b="0" l="0" r="0" t="0"/>
                <wp:wrapNone/>
                <wp:docPr id="56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NO: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7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7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6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6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6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6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48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extremidad inferior derecha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6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6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7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7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254000</wp:posOffset>
                </wp:positionV>
                <wp:extent cx="457200" cy="342900"/>
                <wp:effectExtent b="0" l="0" r="0" t="0"/>
                <wp:wrapNone/>
                <wp:docPr id="54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254000</wp:posOffset>
                </wp:positionV>
                <wp:extent cx="457200" cy="342900"/>
                <wp:effectExtent b="0" l="0" r="0" t="0"/>
                <wp:wrapNone/>
                <wp:docPr id="54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4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228600</wp:posOffset>
                </wp:positionV>
                <wp:extent cx="457200" cy="342900"/>
                <wp:effectExtent b="0" l="0" r="0" t="0"/>
                <wp:wrapNone/>
                <wp:docPr id="54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IIi              III             IV               NO CLASIFICABLE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5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57200" cy="342900"/>
                <wp:effectExtent b="0" l="0" r="0" t="0"/>
                <wp:wrapNone/>
                <wp:docPr id="54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215900</wp:posOffset>
                </wp:positionV>
                <wp:extent cx="457200" cy="342900"/>
                <wp:effectExtent b="0" l="0" r="0" t="0"/>
                <wp:wrapNone/>
                <wp:docPr id="55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215900</wp:posOffset>
                </wp:positionV>
                <wp:extent cx="504825" cy="342900"/>
                <wp:effectExtent b="0" l="0" r="0" t="0"/>
                <wp:wrapNone/>
                <wp:docPr id="55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215900</wp:posOffset>
                </wp:positionV>
                <wp:extent cx="504825" cy="342900"/>
                <wp:effectExtent b="0" l="0" r="0" t="0"/>
                <wp:wrapNone/>
                <wp:docPr id="55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55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32XH3y466s25go9ISbJRhG45Q==">CgMxLjA4AHIhMWNOQXhnLVdTZ3hmVDU1RERXT3d0b0hxdU41YlMySV9z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