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BELEN RODRIGUEZ  VASQUEZ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22.842.184-7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30/09/2025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ADMINISTRACIÓN DE ANTIBIÓTICO EV POR DIAGNÓSTICO ANTES DESCRITO. EN VISITA DE INGRESO SE OBSERVA LESIONES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EII:</w:t>
      </w:r>
      <w:r w:rsidDel="00000000" w:rsidR="00000000" w:rsidRPr="00000000">
        <w:rPr>
          <w:sz w:val="24"/>
          <w:szCs w:val="24"/>
          <w:rtl w:val="0"/>
        </w:rPr>
        <w:t xml:space="preserve"> PRESENTA 3 LESIONES DE 0.2, 0.5, 0.5 CM. LESIONES CON 100% DE TEJIDO GRANULATORIO, EXUDADO ESCASO SEROHEMÁTICO. SE DERIVA PARA CURACIONES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3157538</wp:posOffset>
                </wp:positionH>
                <wp:positionV relativeFrom="paragraph">
                  <wp:posOffset>-4761</wp:posOffset>
                </wp:positionV>
                <wp:extent cx="647700" cy="5334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3157538</wp:posOffset>
                </wp:positionH>
                <wp:positionV relativeFrom="paragraph">
                  <wp:posOffset>-4761</wp:posOffset>
                </wp:positionV>
                <wp:extent cx="647700" cy="533400"/>
                <wp:effectExtent b="0" l="0" r="0" t="0"/>
                <wp:wrapNone/>
                <wp:docPr id="4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1544638</wp:posOffset>
                </wp:positionH>
                <wp:positionV relativeFrom="paragraph">
                  <wp:posOffset>-4761</wp:posOffset>
                </wp:positionV>
                <wp:extent cx="647700" cy="5334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1544638</wp:posOffset>
                </wp:positionH>
                <wp:positionV relativeFrom="paragraph">
                  <wp:posOffset>-4761</wp:posOffset>
                </wp:positionV>
                <wp:extent cx="647700" cy="533400"/>
                <wp:effectExtent b="0" l="0" r="0" t="0"/>
                <wp:wrapNone/>
                <wp:docPr id="4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eVkTBOTCnva3YLuaMFj25egrg==">CgMxLjA4AHIhMWdGeE5nSkI2NThVX2lZcTByS09HbDA4d3FmVUZ5T0tk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