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BERNARDA MORALES MUÑOZ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77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5.492.162-4</w:t>
      </w:r>
      <w:r w:rsidDel="00000000" w:rsidR="00000000" w:rsidRPr="00000000">
        <w:rPr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06-05-2025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20-05-2025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ACV ISQUÉMICO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HODOM PARA MANEJO POR DIAGNÓSTICO ANTES DESCRITO PARA REHABILITACIÓN. DURANTE ESTANCIA EN PROGRAMA SE EVIDENCIA </w:t>
      </w:r>
      <w:r w:rsidDel="00000000" w:rsidR="00000000" w:rsidRPr="00000000">
        <w:rPr>
          <w:b w:val="1"/>
          <w:sz w:val="24"/>
          <w:szCs w:val="24"/>
          <w:rtl w:val="0"/>
        </w:rPr>
        <w:t xml:space="preserve">FLICTENA EID°</w:t>
      </w:r>
      <w:r w:rsidDel="00000000" w:rsidR="00000000" w:rsidRPr="00000000">
        <w:rPr>
          <w:sz w:val="24"/>
          <w:szCs w:val="24"/>
          <w:rtl w:val="0"/>
        </w:rPr>
        <w:t xml:space="preserve">: LESIÓN DE 3X2  CM, ACTUALMENTE TEJIDO ESFACELADO 50% Y GRANULATORIO 50%, EXUDADO SEROHEMATICO ESCASA CANTIDAD. SE  DERIVA PARA CONTINUAR MANEJO  EN APS 2 A 3 VECES POR SEMANA SEGÚN EVOLUCIÓN.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4330700</wp:posOffset>
                </wp:positionH>
                <wp:positionV relativeFrom="paragraph">
                  <wp:posOffset>101600</wp:posOffset>
                </wp:positionV>
                <wp:extent cx="929740" cy="828675"/>
                <wp:effectExtent b="0" l="0" r="0" t="0"/>
                <wp:wrapNone/>
                <wp:docPr id="52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4330700</wp:posOffset>
                </wp:positionH>
                <wp:positionV relativeFrom="paragraph">
                  <wp:posOffset>101600</wp:posOffset>
                </wp:positionV>
                <wp:extent cx="929740" cy="828675"/>
                <wp:effectExtent b="0" l="0" r="0" t="0"/>
                <wp:wrapNone/>
                <wp:docPr id="52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9740" cy="828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101600</wp:posOffset>
                </wp:positionV>
                <wp:extent cx="926273" cy="825597"/>
                <wp:effectExtent b="0" l="0" r="0" t="0"/>
                <wp:wrapNone/>
                <wp:docPr id="51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101600</wp:posOffset>
                </wp:positionV>
                <wp:extent cx="926273" cy="825597"/>
                <wp:effectExtent b="0" l="0" r="0" t="0"/>
                <wp:wrapNone/>
                <wp:docPr id="51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6273" cy="8255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415BeX6cvpVErfAnu61O4NtX3Q==">CgMxLjA4AHIhMWdCTm8xTXBpUU01RU9FTEhiaUF3V195ZXFRUWJRSDZs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