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7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ENRIQUETA FLORES CONTRERAS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79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6.540.259-9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04/04/2024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13/04/2024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ITU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Usuari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ingresa a HODOM HSC</w:t>
      </w:r>
      <w:r w:rsidDel="00000000" w:rsidR="00000000" w:rsidRPr="00000000">
        <w:rPr>
          <w:sz w:val="26"/>
          <w:szCs w:val="26"/>
          <w:rtl w:val="0"/>
        </w:rPr>
        <w:t xml:space="preserve"> para cumplimiento tratamiento ATB EV en domicilio  y curaciones avanzadas.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domicilio se evidencia LPP sacra de grado II: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 8 x 6 cm de extensión, superficial. 60% esfacelo - 40% granulado. Piel perilesional descamada. Bordes irregulares. Se inician curaciones cada 48 hrs con DACC y prontosan gel. Aplicando cavilon en spray en piel perilesional</w:t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sugiere continuar con curaciones 3 veces por semana 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...…………………………………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6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9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2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5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3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3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3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4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5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7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8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70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7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3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WHkks+2dswlKXYHIyPe/+h/x7w==">CgMxLjA4AHIhMUdFQWdzX21DTEZ6em5DN2p3T01PYXJOYlRDV0o0ODMz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