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8.247.770-5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8.247.770-5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</w:t>
      </w:r>
      <w:r w:rsidDel="00000000" w:rsidR="00000000" w:rsidRPr="00000000">
        <w:rPr>
          <w:sz w:val="24"/>
          <w:szCs w:val="24"/>
          <w:rtl w:val="0"/>
        </w:rPr>
        <w:t xml:space="preserve">09/11/2024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ABDOMEN AGUDO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CON DIAGNÓSTICO ANTES DESCRITO INGRESA A HODOM  PARA TERAPIA DE REHABILITACIÓN KINÉSICA  Y CURACIONES AVANZADAS LUEGO DE LAPAROTOMIA.  AL EXAMEN FÍSICO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ABDOMINAL: </w:t>
      </w:r>
      <w:r w:rsidDel="00000000" w:rsidR="00000000" w:rsidRPr="00000000">
        <w:rPr>
          <w:sz w:val="24"/>
          <w:szCs w:val="24"/>
          <w:rtl w:val="0"/>
        </w:rPr>
        <w:t xml:space="preserve">20 CM AFRONTADA CON GRAPAS, CON DEHISCENCIA A DISTAL, EXUDADO SEROSO, ESCASA CANTIDAD. SE DERIVA PARA CONTINUAR MANEJO POR APS, PERIODICIDAD SEGÚN EVOLUCIÒN.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ABDOMINAL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657225" cy="542925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657225" cy="542925"/>
                <wp:effectExtent b="0" l="0" r="0" t="0"/>
                <wp:wrapNone/>
                <wp:docPr id="4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657225" cy="542925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657225" cy="542925"/>
                <wp:effectExtent b="0" l="0" r="0" t="0"/>
                <wp:wrapNone/>
                <wp:docPr id="4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oEXmHwQObdU0s/cl1hSk9lwMNg==">CgMxLjA4AHIhMS1vRktUNFlrb25tU3F5Ui1WUkdZSTJUTll4dlRxc0Zp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