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JUAN MORAGA SEPÚLVEDA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 72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6.803.385-3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DURÁN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27/11/2023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11/12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NEUMONÍA- POSTRADO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o ingresa derivado desde  UE para completar tratamiento ATB Ev en domicilio. En domicilio, durante atenciones de enfermería se pesquisan las siguientes lesiones: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LPP SACRA: GRADO II. De 2x1cm, superficial. con 80% tejido esfacelado, resto granulado. Mantiene curaciones interdiarias con buena respuesta. Actualmente 100% granulada, superficial, con piel perilesional indemne. En curaciones 2 veces por semana con telfa.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LPP CALCANEA INTERNA EEII IZQUIERDA: GRADO II. Flictena de 3x3cm, superficial, destechada. Se realizan curaciones interdiarias con buena respuesta. Actualmente 2x2cm. En curaciones con telfa</w:t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sugiere continuar atenciones 2 veces por semana</w:t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619125</wp:posOffset>
                </wp:positionH>
                <wp:positionV relativeFrom="paragraph">
                  <wp:posOffset>196112</wp:posOffset>
                </wp:positionV>
                <wp:extent cx="295275" cy="1809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619125</wp:posOffset>
                </wp:positionH>
                <wp:positionV relativeFrom="paragraph">
                  <wp:posOffset>196112</wp:posOffset>
                </wp:positionV>
                <wp:extent cx="295275" cy="1809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3913</wp:posOffset>
                </wp:positionV>
                <wp:extent cx="295275" cy="18097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3913</wp:posOffset>
                </wp:positionV>
                <wp:extent cx="295275" cy="18097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2695575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2695575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 IZQUIERDO- SACRA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188544</wp:posOffset>
                </wp:positionV>
                <wp:extent cx="295275" cy="1809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188544</wp:posOffset>
                </wp:positionV>
                <wp:extent cx="295275" cy="18097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819150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819150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1609725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1609725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2190750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2190750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177800</wp:posOffset>
                </wp:positionV>
                <wp:extent cx="295275" cy="1809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177800</wp:posOffset>
                </wp:positionV>
                <wp:extent cx="295275" cy="18097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177800</wp:posOffset>
                </wp:positionV>
                <wp:extent cx="295275" cy="18097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177800</wp:posOffset>
                </wp:positionV>
                <wp:extent cx="295275" cy="18097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4.png"/><Relationship Id="rId22" Type="http://schemas.openxmlformats.org/officeDocument/2006/relationships/image" Target="media/image17.png"/><Relationship Id="rId21" Type="http://schemas.openxmlformats.org/officeDocument/2006/relationships/image" Target="media/image18.png"/><Relationship Id="rId24" Type="http://schemas.openxmlformats.org/officeDocument/2006/relationships/image" Target="media/image3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5.png"/><Relationship Id="rId25" Type="http://schemas.openxmlformats.org/officeDocument/2006/relationships/image" Target="media/image6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pPQR0qsNytakgQ+L1CXiUqT6VA==">CgMxLjA4AHIhMTh1NDRrUHVXYldxVDdDQWx4bnp2Vjh0N1M5WTF0NFNa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