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MUÑOZ GARRIDO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5.612.191-9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03/03/2025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07/03/2025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ANTIBIOTICOTERAPIA EV  Y KTR, EN VISTA DE MEJORÍA CLÍNICA Y DISMINUCIÓN DE PARÁMETROS INFLAMATORIOS SE REALIZA TRASLAPE A ATB VO.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LESIÓN EN CODO D° </w:t>
      </w:r>
      <w:r w:rsidDel="00000000" w:rsidR="00000000" w:rsidRPr="00000000">
        <w:rPr>
          <w:sz w:val="24"/>
          <w:szCs w:val="24"/>
          <w:rtl w:val="0"/>
        </w:rPr>
        <w:t xml:space="preserve">POSTERIOR A CAIDA,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4X4 CM 40% ESFACELO Y 60% GRANULATORIO CON MODERADO EXUDADO SEROSO, SIN SIGNOS DE INFECCIÓN.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165100</wp:posOffset>
                </wp:positionV>
                <wp:extent cx="933450" cy="819150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165100</wp:posOffset>
                </wp:positionV>
                <wp:extent cx="933450" cy="819150"/>
                <wp:effectExtent b="0" l="0" r="0" t="0"/>
                <wp:wrapNone/>
                <wp:docPr id="49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152400</wp:posOffset>
                </wp:positionV>
                <wp:extent cx="933450" cy="819150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152400</wp:posOffset>
                </wp:positionV>
                <wp:extent cx="933450" cy="819150"/>
                <wp:effectExtent b="0" l="0" r="0" t="0"/>
                <wp:wrapNone/>
                <wp:docPr id="49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Nw4fd2DGbjLxL45NQw8irFN/Q==">CgMxLjA4AHIhMUkwQzg3QkVlcHV4ZW5ZaWwxUzlkN3FUdTZ5dEgybUpG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