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JUANA ESCAMILLA ESCAMILLA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4.489.349-5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06/03/2024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09/03/2024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SHH RESUELTO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medicina para completar tratamiento rehabilitación kinésica y fonoaudiológica además de curaciones.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visita se pesquisa lesiones por presión: SACRA: grado II, 3 lesiones de 0.5x0.5 cm,  tejido 100% granulatorio, sin exudado. BORDE EXTERNO EID° GRADO II: flictena no destechada, sin exudado, 15x2 cm aprox. HALLUX Y TALÓN EII°: sin exudado, tejido necrótico, 2x2 cm y 3x2 cm respectivamente. ZONA DORSAL: lesión tipo micótica, abundante exudado seroso, 80% tejido granulatorio, 20% esfacelo, 15x8 cm aprox.  Se realizan curaciones interdiarias en domicilio con uso de DACC, TULL.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33ILQTzZGMvShUUiL4N6He5N6g==">CgMxLjA4AHIhMXBWbndjbFAtY2E1LTFHdWdfdk5lckQ2cl96UGw1SGRN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