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LUIS BRIONES JIMENEZ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7.990.570-4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</w:t>
      </w:r>
      <w:r w:rsidDel="00000000" w:rsidR="00000000" w:rsidRPr="00000000">
        <w:rPr>
          <w:sz w:val="24"/>
          <w:szCs w:val="24"/>
          <w:rtl w:val="0"/>
        </w:rPr>
        <w:t xml:space="preserve">09/11/2024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SEPSIS FOCO ABDOMINAL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TERAPIA DE REHABILITACIÓN KINÉSICA,  FONOAUDIOLÓGICA  Y CURACIONES AVANZADAS.  AL EXAMEN FÍSICO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</w:t>
      </w:r>
      <w:r w:rsidDel="00000000" w:rsidR="00000000" w:rsidRPr="00000000">
        <w:rPr>
          <w:sz w:val="24"/>
          <w:szCs w:val="24"/>
          <w:rtl w:val="0"/>
        </w:rPr>
        <w:t xml:space="preserve">GRADO III: 10X10 CM EXTENCIÒN 7 CM PROFUNDIDAD, EXUDADO ABUNDANTE SEROHEMÁTICO, TEJIDO 30% ESFACELO 70% GRANULATORIO.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CALCÁNEO IZQUIERDO</w:t>
      </w:r>
      <w:r w:rsidDel="00000000" w:rsidR="00000000" w:rsidRPr="00000000">
        <w:rPr>
          <w:sz w:val="24"/>
          <w:szCs w:val="24"/>
          <w:rtl w:val="0"/>
        </w:rPr>
        <w:t xml:space="preserve"> G II Y EMPEINE G II: 5X3 CM, 1X1 CM, 7X4 CM, TEJIDO 80% GRANULATORIO, 20% ESFACELO, EXUDADO SEROHEMÁTICO MODERADA CANTIDAD. SE DERIVA PARA CONTINUAR MANEJO POR APS, PERIODICIDAD SEGÚN EVOLUCIÒN.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 CALCANEO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638175" cy="523875"/>
                <wp:effectExtent b="0" l="0" r="0" t="0"/>
                <wp:wrapNone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638175" cy="523875"/>
                <wp:effectExtent b="0" l="0" r="0" t="0"/>
                <wp:wrapNone/>
                <wp:docPr id="4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638175" cy="523875"/>
                <wp:effectExtent b="0" l="0" r="0" t="0"/>
                <wp:wrapNone/>
                <wp:docPr id="4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638175" cy="523875"/>
                <wp:effectExtent b="0" l="0" r="0" t="0"/>
                <wp:wrapNone/>
                <wp:docPr id="4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gDqnVROr4if+HgnV2XcoaH1lQ==">CgMxLjA4AHIhMUZUeklhUnZYV3NPaEhIdDA0emFhZjVNUjNGN0s2NFNR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