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-415264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5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MACARENA GALLARDO TORO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35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sz w:val="24"/>
          <w:szCs w:val="24"/>
          <w:rtl w:val="0"/>
        </w:rPr>
        <w:t xml:space="preserve"> 17.061.665-0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sz w:val="24"/>
          <w:szCs w:val="24"/>
          <w:rtl w:val="0"/>
        </w:rPr>
        <w:t xml:space="preserve"> DURÁN TRUJILLO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09/07/2024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15/07/2024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LUXOFRACTURA TOBILLO DERECHO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A HODOM POR DIAGNÓSTICO ANTES MENCIONADO PARA REHABILITACIÒN KINESICA, CURACIONES POR ENFERMERÌA Y ADMINISTRACIÒN DE TRATAMIENTO ANTICOAGULANTE. EN INGRESO DE ENFERMERÌA SE PESQUISA: HERIDA QUIRÚRGICA BIMALEOLAR EI DERECHA DE 7 Y 7,4 CM RESPECTIVAMENTE, AFRONTADAS CON SUTURA, EXUDADO SANGUINOLENTO, SIN SIGNOS DE INFECCIÓN. ACTUALMENTE SIN EXUDADO. SE DERIVA PARA CONTINUAR CURACIONES CADA 4 DÍAS O SEGÚN EVOLUCIÓN  Y RETIRO DE PUNTOS DIA 23 JULIO SIM.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EID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:II               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101600</wp:posOffset>
                </wp:positionV>
                <wp:extent cx="428625" cy="314325"/>
                <wp:effectExtent b="0" l="0" r="0" t="0"/>
                <wp:wrapNone/>
                <wp:docPr id="35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101600</wp:posOffset>
                </wp:positionV>
                <wp:extent cx="428625" cy="314325"/>
                <wp:effectExtent b="0" l="0" r="0" t="0"/>
                <wp:wrapNone/>
                <wp:docPr id="35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101600</wp:posOffset>
                </wp:positionV>
                <wp:extent cx="428625" cy="314325"/>
                <wp:effectExtent b="0" l="0" r="0" t="0"/>
                <wp:wrapNone/>
                <wp:docPr id="35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101600</wp:posOffset>
                </wp:positionV>
                <wp:extent cx="428625" cy="314325"/>
                <wp:effectExtent b="0" l="0" r="0" t="0"/>
                <wp:wrapNone/>
                <wp:docPr id="35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h8/DNKJ16nNzWYw1TeHKTfvmwQ==">CgMxLjA4AHIhMS04dVJhM0U1Z0RrbV8yVFhSa3JHNU1BRlRDbjBrOUFi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