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MARÍA PARADA MÉNDEZ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78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6.110.153-5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15/01/2024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24/01/2024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INFECCIÓN DE PARTES BLANDAS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USAT con Dg antes descrito para curaciones avanzadas y tratamiento antibiótico c/12 hrs por 7 días con Clindamicina y Ceftriaxona c/24 hrs por 10 días. Usuaria con dehiscencia maleolar D° cara lateral externa, PO inmediato RAFI + osteosíntesis de tobillo D°. Lesión con moderado exudado hematopurulento fétido, tejido 60% esfacelado y 40% granulatorio, bordes eritematosos, diámetro de aprox 3x2 cm, cavitada 1.5 cm </w:t>
      </w:r>
      <w:r w:rsidDel="00000000" w:rsidR="00000000" w:rsidRPr="00000000">
        <w:rPr>
          <w:sz w:val="24"/>
          <w:szCs w:val="24"/>
          <w:rtl w:val="0"/>
        </w:rPr>
        <w:t xml:space="preserve">aprox</w:t>
      </w:r>
      <w:r w:rsidDel="00000000" w:rsidR="00000000" w:rsidRPr="00000000">
        <w:rPr>
          <w:sz w:val="24"/>
          <w:szCs w:val="24"/>
          <w:rtl w:val="0"/>
        </w:rPr>
        <w:t xml:space="preserve">. Se mantiene con curaciones diarias hasta 20.01 </w:t>
      </w:r>
      <w:r w:rsidDel="00000000" w:rsidR="00000000" w:rsidRPr="00000000">
        <w:rPr>
          <w:sz w:val="24"/>
          <w:szCs w:val="24"/>
          <w:rtl w:val="0"/>
        </w:rPr>
        <w:t xml:space="preserve">posterior</w:t>
      </w:r>
      <w:r w:rsidDel="00000000" w:rsidR="00000000" w:rsidRPr="00000000">
        <w:rPr>
          <w:sz w:val="24"/>
          <w:szCs w:val="24"/>
          <w:rtl w:val="0"/>
        </w:rPr>
        <w:t xml:space="preserve"> cada 48 hrs, lesión manejada principalmente con prontosan gel + DACC, actualmente mantiene dimensiones y % de tejidos, con disminución de eritema perilesional, exudado moderado seroso. Se sugiere curación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213940</wp:posOffset>
                </wp:positionV>
                <wp:extent cx="314325" cy="2000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1076325</wp:posOffset>
                </wp:positionH>
                <wp:positionV relativeFrom="paragraph">
                  <wp:posOffset>213940</wp:posOffset>
                </wp:positionV>
                <wp:extent cx="314325" cy="20002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3790950</wp:posOffset>
                </wp:positionH>
                <wp:positionV relativeFrom="paragraph">
                  <wp:posOffset>209550</wp:posOffset>
                </wp:positionV>
                <wp:extent cx="314325" cy="2000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3790950</wp:posOffset>
                </wp:positionH>
                <wp:positionV relativeFrom="paragraph">
                  <wp:posOffset>209550</wp:posOffset>
                </wp:positionV>
                <wp:extent cx="314325" cy="2000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1590675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1590675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1228725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5276850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1362075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552450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1938338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1938338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2405063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2405063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2843213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2843213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3286125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3286125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3724275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3724275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</w:t>
      </w:r>
      <w:r w:rsidDel="00000000" w:rsidR="00000000" w:rsidRPr="00000000">
        <w:rPr>
          <w:rtl w:val="0"/>
        </w:rPr>
        <w:t xml:space="preserve">USAT/CAE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3162300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23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r5MiG75AsN9xiGu8qcc/SzTnQ==">CgMxLjA4AHIhMTBQMnhCbndOX1JHV3BDU25acTAyNUVkc29yMG9GazA4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