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7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MARIA AVILA SOTO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 </w:t>
      </w:r>
      <w:r w:rsidDel="00000000" w:rsidR="00000000" w:rsidRPr="00000000">
        <w:rPr>
          <w:sz w:val="24"/>
          <w:szCs w:val="24"/>
          <w:rtl w:val="0"/>
        </w:rPr>
        <w:t xml:space="preserve">6.643.974-7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T. BALDECHI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24/06/2024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30/06/2024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INSUFICIENCIA CARDIACA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derivada desde unidad de medicina por dg antes descrito, para rehabilitaciòn kinésica motora y respiratoria. Al momento de la visita de enfermería se pesquisa LPP glúteo izquierdo: 4,5 x 1 cm superficial, exudado moderada cantidad serohemático, tejido 100% granulatorio. </w:t>
      </w:r>
    </w:p>
    <w:p w:rsidR="00000000" w:rsidDel="00000000" w:rsidP="00000000" w:rsidRDefault="00000000" w:rsidRPr="00000000" w14:paraId="000000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curaciones cada 48 horas os egùn evoluciòn. </w:t>
      </w:r>
    </w:p>
    <w:p w:rsidR="00000000" w:rsidDel="00000000" w:rsidP="00000000" w:rsidRDefault="00000000" w:rsidRPr="00000000" w14:paraId="0000000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5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0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8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6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7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5321300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7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4521200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7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6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7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9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6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2628900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EXTREMIDAD SUPERIOR DERECHA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139700</wp:posOffset>
                </wp:positionV>
                <wp:extent cx="400050" cy="285750"/>
                <wp:effectExtent b="0" l="0" r="0" t="0"/>
                <wp:wrapNone/>
                <wp:docPr id="3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88900</wp:posOffset>
                </wp:positionV>
                <wp:extent cx="400050" cy="285750"/>
                <wp:effectExtent b="0" l="0" r="0" t="0"/>
                <wp:wrapNone/>
                <wp:docPr id="3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1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9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0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3924300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3390900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400050" cy="285750"/>
                <wp:effectExtent b="0" l="0" r="0" t="0"/>
                <wp:wrapNone/>
                <wp:docPr id="37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DRte3j7ZHu5styPOoUjubwKcBA==">CgMxLjA4AHIhMTNyZWVPbC1LTHo1aGlLMEhkOVdSV3BkblVtZmdVeFFJ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