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ROSA GARRIDO CARRIEL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79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5.821.691-7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26/02/2025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05/03/2025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ANEMIA NO ESPECIFICADA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HODOM PARA SEGUIMIENTO Y CONTROL CON HEMOGRAMA. EN VISITA SE EVIDENCIA</w:t>
      </w:r>
      <w:r w:rsidDel="00000000" w:rsidR="00000000" w:rsidRPr="00000000">
        <w:rPr>
          <w:b w:val="1"/>
          <w:sz w:val="24"/>
          <w:szCs w:val="24"/>
          <w:rtl w:val="0"/>
        </w:rPr>
        <w:t xml:space="preserve"> LPP SACRA GRADO II </w:t>
      </w:r>
      <w:r w:rsidDel="00000000" w:rsidR="00000000" w:rsidRPr="00000000">
        <w:rPr>
          <w:sz w:val="24"/>
          <w:szCs w:val="24"/>
          <w:rtl w:val="0"/>
        </w:rPr>
        <w:t xml:space="preserve">1X1 CM ACTUALMENTE 0.5X0.5 CM  ZONA PERILESIONAL CON ERITEMA BLANQUEABLE, 80% ESFACELO Y 20% GRANULATORIO CON ESCASO EXUDADO SEROHEMATICO, SIN SIGNOS DE INFECCIÓN. SE  DERIVA PARA CONTINUAR MANEJO  EN APS 2 A 3 VECES POR SEMANA SEGÚN EVOLUCIÓN.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4076700</wp:posOffset>
                </wp:positionH>
                <wp:positionV relativeFrom="paragraph">
                  <wp:posOffset>171450</wp:posOffset>
                </wp:positionV>
                <wp:extent cx="923925" cy="809625"/>
                <wp:effectExtent b="0" l="0" r="0" t="0"/>
                <wp:wrapNone/>
                <wp:docPr id="49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4076700</wp:posOffset>
                </wp:positionH>
                <wp:positionV relativeFrom="paragraph">
                  <wp:posOffset>171450</wp:posOffset>
                </wp:positionV>
                <wp:extent cx="923925" cy="809625"/>
                <wp:effectExtent b="0" l="0" r="0" t="0"/>
                <wp:wrapNone/>
                <wp:docPr id="49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3925" cy="809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1809750</wp:posOffset>
                </wp:positionH>
                <wp:positionV relativeFrom="paragraph">
                  <wp:posOffset>167537</wp:posOffset>
                </wp:positionV>
                <wp:extent cx="923925" cy="809625"/>
                <wp:effectExtent b="0" l="0" r="0" t="0"/>
                <wp:wrapNone/>
                <wp:docPr id="49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1809750</wp:posOffset>
                </wp:positionH>
                <wp:positionV relativeFrom="paragraph">
                  <wp:posOffset>167537</wp:posOffset>
                </wp:positionV>
                <wp:extent cx="923925" cy="809625"/>
                <wp:effectExtent b="0" l="0" r="0" t="0"/>
                <wp:wrapNone/>
                <wp:docPr id="49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3925" cy="809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POSTRADOS:                                  APS CURACIONES:            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H3QpDsBVW921+OdB3Rw5X+GGMw==">CgMxLjA4AHIhMWdpTl84XzlOZnhsNXZnOG9iRWZNb0I3ai1QMm9iVlNt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