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0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UBERLINDA CONTRERAS LANDEROS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6.258.092-5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J. DURAN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03/04/2024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CELULITIS EIDª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con antecedentes de HTA, DM II IR, DLP, ingresa a hospitalización domiciliaria en contexto de celulitis EID y úlcera plantar derecha, para tratamiento antibiótico EV y curaciones.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 plantar derecha: lesión de 0,5 cm, cavitada &lt;0,5 cm, tejido 100% esfacelado con moderado exudado seropurulento, bordes con disminución de eritema, tratada con prontosan gel y alginato de Ag, 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sugiere continuar con curaciones interdiarias.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...…………………………………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5702300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5702300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DERECHO.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MjLfOqRJXI995ceVFSlTENnUUA==">CgMxLjA4AHIhMVZXQjZZTUtxNS1qZEp2eXB1R18yWVhiR3FDTzFIOEJa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