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 un placer asistirlo. En mi rol, he realizado un análisis exhaustivo de los documentos que componen el </w:t>
      </w:r>
      <w:r w:rsidDel="00000000" w:rsidR="00000000" w:rsidRPr="00000000">
        <w:rPr>
          <w:i w:val="1"/>
          <w:iCs w:val="1"/>
          <w:rtl w:val="0"/>
        </w:rPr>
        <w:t xml:space="preserve">corpus</w:t>
      </w:r>
      <w:r w:rsidDel="00000000" w:rsidR="00000000" w:rsidRPr="00000000">
        <w:rPr>
          <w:rtl w:val="0"/>
        </w:rPr>
        <w:t xml:space="preserve"> de su unidad de Hospitalización Domiciliaria (HODOM). Este informe detalla la estructura operacional, el perfil de los pacientes y la complejidad de la gestión clínica.</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255" w:lineRule="auto"/>
        <w:rPr>
          <w:b w:val="1"/>
          <w:bCs w:val="1"/>
          <w:i w:val="0"/>
          <w:iCs w:val="0"/>
          <w:sz w:val="28"/>
          <w:szCs w:val="28"/>
        </w:rPr>
      </w:pPr>
      <w:r w:rsidDel="00000000" w:rsidR="00000000" w:rsidRPr="00000000">
        <w:rPr>
          <w:b w:val="1"/>
          <w:bCs w:val="1"/>
          <w:i w:val="0"/>
          <w:iCs w:val="0"/>
          <w:sz w:val="28"/>
          <w:szCs w:val="28"/>
          <w:rtl w:val="0"/>
        </w:rPr>
        <w:t xml:space="preserve">Informe Exhaustivo de la Unidad HODOM</w:t>
      </w:r>
    </w:p>
    <w:p w:rsidR="00000000" w:rsidDel="00000000" w:rsidP="00000000" w:rsidRDefault="00000000" w:rsidRPr="00000000" w14:paraId="00000003">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I. Estructura Operacional y Recursos Humanos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La planificación de prestaciones, ejemplificada en el calendario de febrero de 2026, revela una estructura organizacional robusta y la capacidad de la unidad para desplegar un equipo multidisciplinario a terreno, cubriendo un amplio rango horario.</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Equipo Multidisciplinario Identificado:</w:t>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Médicos:</w:t>
      </w:r>
      <w:r w:rsidDel="00000000" w:rsidR="00000000" w:rsidRPr="00000000">
        <w:rPr>
          <w:rtl w:val="0"/>
        </w:rPr>
        <w:t xml:space="preserve"> Andrés, Servando, Cristopher, Hugo y Jose.</w:t>
      </w:r>
    </w:p>
    <w:p w:rsidR="00000000" w:rsidDel="00000000" w:rsidP="00000000" w:rsidRDefault="00000000" w:rsidRPr="00000000" w14:paraId="00000007">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Enfermeras/TENS:</w:t>
      </w:r>
      <w:r w:rsidDel="00000000" w:rsidR="00000000" w:rsidRPr="00000000">
        <w:rPr>
          <w:rtl w:val="0"/>
        </w:rPr>
        <w:t xml:space="preserve"> Laura, Lucero, Pía.</w:t>
      </w:r>
    </w:p>
    <w:p w:rsidR="00000000" w:rsidDel="00000000" w:rsidP="00000000" w:rsidRDefault="00000000" w:rsidRPr="00000000" w14:paraId="00000008">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Fonoaudiología:</w:t>
      </w:r>
      <w:r w:rsidDel="00000000" w:rsidR="00000000" w:rsidRPr="00000000">
        <w:rPr>
          <w:rtl w:val="0"/>
        </w:rPr>
        <w:t xml:space="preserve"> M. José.</w:t>
      </w:r>
    </w:p>
    <w:p w:rsidR="00000000" w:rsidDel="00000000" w:rsidP="00000000" w:rsidRDefault="00000000" w:rsidRPr="00000000" w14:paraId="00000009">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Kinesiología:</w:t>
      </w:r>
      <w:r w:rsidDel="00000000" w:rsidR="00000000" w:rsidRPr="00000000">
        <w:rPr>
          <w:rtl w:val="0"/>
        </w:rPr>
        <w:t xml:space="preserve"> Luis.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Cobertura Horaria y Logística:</w:t>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La jornada de prestaciones documentada se extiende desde las </w:t>
      </w:r>
      <w:r w:rsidDel="00000000" w:rsidR="00000000" w:rsidRPr="00000000">
        <w:rPr>
          <w:b w:val="1"/>
          <w:bCs w:val="1"/>
          <w:rtl w:val="0"/>
        </w:rPr>
        <w:t xml:space="preserve">8:00 hrs. hasta las 19:00 hrs.</w:t>
      </w:r>
      <w:r w:rsidDel="00000000" w:rsidR="00000000" w:rsidRPr="00000000">
        <w:rPr>
          <w:rtl w:val="0"/>
        </w:rPr>
        <w:t xml:space="preserve">, en turnos matutinos y vespertinos.</w:t>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La unidad atiende a pacientes en diversas ubicaciones, como San Carlos, Ñiquén, Cachapoal, y en residencias específicas como el ELEAM San Agustín.</w:t>
      </w:r>
    </w:p>
    <w:p w:rsidR="00000000" w:rsidDel="00000000" w:rsidP="00000000" w:rsidRDefault="00000000" w:rsidRPr="00000000" w14:paraId="0000000D">
      <w:pPr>
        <w:pStyle w:val="Heading4"/>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b w:val="1"/>
          <w:bCs w:val="1"/>
          <w:i w:val="0"/>
          <w:iCs w:val="0"/>
          <w:sz w:val="24"/>
          <w:szCs w:val="24"/>
          <w:rtl w:val="0"/>
        </w:rPr>
        <w:t xml:space="preserve">II. Perfil Epidemiológico y Demográfico del Paciente (Base de 1.792 Registros)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El "2025 FORMULARIO HODOM" ofrece una visión macro de la demanda y las características poblacionales atendidas por la unidad:</w:t>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Diagnósticos de Egreso más Comunes:</w:t>
      </w:r>
    </w:p>
    <w:p w:rsidR="00000000" w:rsidDel="00000000" w:rsidP="00000000" w:rsidRDefault="00000000" w:rsidRPr="00000000" w14:paraId="00000010">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Neumonía (incluyendo Neumonía Aspirativa).</w:t>
      </w:r>
    </w:p>
    <w:p w:rsidR="00000000" w:rsidDel="00000000" w:rsidP="00000000" w:rsidRDefault="00000000" w:rsidRPr="00000000" w14:paraId="00000011">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Accidente Cerebrovascular (ACV).</w:t>
      </w:r>
    </w:p>
    <w:p w:rsidR="00000000" w:rsidDel="00000000" w:rsidP="00000000" w:rsidRDefault="00000000" w:rsidRPr="00000000" w14:paraId="00000012">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Derrame Pleural (DERRAME PL...).</w:t>
      </w:r>
    </w:p>
    <w:p w:rsidR="00000000" w:rsidDel="00000000" w:rsidP="00000000" w:rsidRDefault="00000000" w:rsidRPr="00000000" w14:paraId="00000013">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Hemorragias.</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Servicios de Origen:</w:t>
      </w:r>
    </w:p>
    <w:p w:rsidR="00000000" w:rsidDel="00000000" w:rsidP="00000000" w:rsidRDefault="00000000" w:rsidRPr="00000000" w14:paraId="00000015">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Los principales servicios que solicitan las prestaciones de HODOM son </w:t>
      </w:r>
      <w:r w:rsidDel="00000000" w:rsidR="00000000" w:rsidRPr="00000000">
        <w:rPr>
          <w:b w:val="1"/>
          <w:bCs w:val="1"/>
          <w:rtl w:val="0"/>
        </w:rPr>
        <w:t xml:space="preserve">MEDICINA</w:t>
      </w:r>
      <w:r w:rsidDel="00000000" w:rsidR="00000000" w:rsidRPr="00000000">
        <w:rPr>
          <w:rtl w:val="0"/>
        </w:rPr>
        <w:t xml:space="preserve"> y la </w:t>
      </w:r>
      <w:r w:rsidDel="00000000" w:rsidR="00000000" w:rsidRPr="00000000">
        <w:rPr>
          <w:b w:val="1"/>
          <w:bCs w:val="1"/>
          <w:rtl w:val="0"/>
        </w:rPr>
        <w:t xml:space="preserve">Unidad de Emergencia (UE)</w:t>
      </w:r>
      <w:r w:rsidDel="00000000" w:rsidR="00000000" w:rsidRPr="00000000">
        <w:rPr>
          <w:rtl w:val="0"/>
        </w:rPr>
        <w:t xml:space="preserve">.</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Rango Etario (Muestra):</w:t>
      </w:r>
    </w:p>
    <w:p w:rsidR="00000000" w:rsidDel="00000000" w:rsidP="00000000" w:rsidRDefault="00000000" w:rsidRPr="00000000" w14:paraId="00000017">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La muestra analizada en la tabla sugiere una alta prevalencia de pacientes de la tercera edad, con registros de </w:t>
      </w:r>
      <w:r w:rsidDel="00000000" w:rsidR="00000000" w:rsidRPr="00000000">
        <w:rPr>
          <w:b w:val="1"/>
          <w:bCs w:val="1"/>
          <w:rtl w:val="0"/>
        </w:rPr>
        <w:t xml:space="preserve">89, 85, 82, 78 y 67 años</w:t>
      </w:r>
      <w:r w:rsidDel="00000000" w:rsidR="00000000" w:rsidRPr="00000000">
        <w:rPr>
          <w:rtl w:val="0"/>
        </w:rPr>
        <w:t xml:space="preserve">.</w:t>
      </w:r>
    </w:p>
    <w:p w:rsidR="00000000" w:rsidDel="00000000" w:rsidP="00000000" w:rsidRDefault="00000000" w:rsidRPr="00000000" w14:paraId="00000018">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No obstante, la unidad maneja casos agudos en poblaciones más jóvenes, como el paciente masculino de </w:t>
      </w:r>
      <w:r w:rsidDel="00000000" w:rsidR="00000000" w:rsidRPr="00000000">
        <w:rPr>
          <w:b w:val="1"/>
          <w:bCs w:val="1"/>
          <w:rtl w:val="0"/>
        </w:rPr>
        <w:t xml:space="preserve">17 años</w:t>
      </w:r>
      <w:r w:rsidDel="00000000" w:rsidR="00000000" w:rsidRPr="00000000">
        <w:rPr>
          <w:rtl w:val="0"/>
        </w:rPr>
        <w:t xml:space="preserve"> con sospecha de Leptospirosis.</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Previsión Social:</w:t>
      </w:r>
    </w:p>
    <w:p w:rsidR="00000000" w:rsidDel="00000000" w:rsidP="00000000" w:rsidRDefault="00000000" w:rsidRPr="00000000" w14:paraId="0000001A">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Los pacientes atendidos poseen predominantemente previsión </w:t>
      </w:r>
      <w:r w:rsidDel="00000000" w:rsidR="00000000" w:rsidRPr="00000000">
        <w:rPr>
          <w:b w:val="1"/>
          <w:bCs w:val="1"/>
          <w:rtl w:val="0"/>
        </w:rPr>
        <w:t xml:space="preserve">FONASA B</w:t>
      </w:r>
      <w:r w:rsidDel="00000000" w:rsidR="00000000" w:rsidRPr="00000000">
        <w:rPr>
          <w:rtl w:val="0"/>
        </w:rPr>
        <w:t xml:space="preserve"> y </w:t>
      </w:r>
      <w:r w:rsidDel="00000000" w:rsidR="00000000" w:rsidRPr="00000000">
        <w:rPr>
          <w:b w:val="1"/>
          <w:bCs w:val="1"/>
          <w:rtl w:val="0"/>
        </w:rPr>
        <w:t xml:space="preserve">FONASA C</w:t>
      </w:r>
      <w:r w:rsidDel="00000000" w:rsidR="00000000" w:rsidRPr="00000000">
        <w:rPr>
          <w:rtl w:val="0"/>
        </w:rPr>
        <w:t xml:space="preserve">.</w:t>
      </w:r>
    </w:p>
    <w:p w:rsidR="00000000" w:rsidDel="00000000" w:rsidP="00000000" w:rsidRDefault="00000000" w:rsidRPr="00000000" w14:paraId="0000001B">
      <w:pPr>
        <w:pStyle w:val="Heading4"/>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b w:val="1"/>
          <w:bCs w:val="1"/>
          <w:i w:val="0"/>
          <w:iCs w:val="0"/>
          <w:sz w:val="24"/>
          <w:szCs w:val="24"/>
          <w:rtl w:val="0"/>
        </w:rPr>
        <w:t xml:space="preserve">III. Gestión Clínica y Tipología de Prestaciones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El tipo de servicios solicitados indica que la unidad se enfoca en el manejo de pacientes con dependencia de cuidados de enfermería, soporte kinésico y manejo de patologías crónicas y agudas.</w:t>
      </w:r>
    </w:p>
    <w:p w:rsidR="00000000" w:rsidDel="00000000" w:rsidP="00000000" w:rsidRDefault="00000000" w:rsidRPr="00000000" w14:paraId="0000001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Servicios Clínicos Frecuentes (Febrero 2026):</w:t>
      </w:r>
    </w:p>
    <w:p w:rsidR="00000000" w:rsidDel="00000000" w:rsidP="00000000" w:rsidRDefault="00000000" w:rsidRPr="00000000" w14:paraId="0000001E">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TTO EV</w:t>
      </w:r>
      <w:r w:rsidDel="00000000" w:rsidR="00000000" w:rsidRPr="00000000">
        <w:rPr>
          <w:rtl w:val="0"/>
        </w:rPr>
        <w:t xml:space="preserve"> (Tratamiento Endovenoso): Múltiples registros diarios para pacientes como Luis Contreras Contreras y María Sepúlveda Sepúlveda.</w:t>
      </w:r>
    </w:p>
    <w:p w:rsidR="00000000" w:rsidDel="00000000" w:rsidP="00000000" w:rsidRDefault="00000000" w:rsidRPr="00000000" w14:paraId="0000001F">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KTM</w:t>
      </w:r>
      <w:r w:rsidDel="00000000" w:rsidR="00000000" w:rsidRPr="00000000">
        <w:rPr>
          <w:rtl w:val="0"/>
        </w:rPr>
        <w:t xml:space="preserve"> (Kinesiología Motora): Solicitada regularmente para pacientes como Luis Navarrete González y Ruth Méndez Muñoz.</w:t>
      </w:r>
    </w:p>
    <w:p w:rsidR="00000000" w:rsidDel="00000000" w:rsidP="00000000" w:rsidRDefault="00000000" w:rsidRPr="00000000" w14:paraId="00000020">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CA</w:t>
      </w:r>
      <w:r w:rsidDel="00000000" w:rsidR="00000000" w:rsidRPr="00000000">
        <w:rPr>
          <w:rtl w:val="0"/>
        </w:rPr>
        <w:t xml:space="preserve"> (Curación Avanzada): Prestación de alta complejidad, como las agendadas para Luis Pincheira Arias.</w:t>
      </w:r>
    </w:p>
    <w:p w:rsidR="00000000" w:rsidDel="00000000" w:rsidP="00000000" w:rsidRDefault="00000000" w:rsidRPr="00000000" w14:paraId="00000021">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VM EGRESO/INGRESO/EVALUACIÓN</w:t>
      </w:r>
      <w:r w:rsidDel="00000000" w:rsidR="00000000" w:rsidRPr="00000000">
        <w:rPr>
          <w:rtl w:val="0"/>
        </w:rPr>
        <w:t xml:space="preserve"> (Visitas Médicas): Muestra la participación activa de los médicos en el ciclo de atención domiciliaria, incluyendo ingresos de enfermería (</w:t>
      </w:r>
      <w:r w:rsidDel="00000000" w:rsidR="00000000" w:rsidRPr="00000000">
        <w:rPr>
          <w:b w:val="1"/>
          <w:bCs w:val="1"/>
          <w:rtl w:val="0"/>
        </w:rPr>
        <w:t xml:space="preserve">ING ENF</w:t>
      </w:r>
      <w:r w:rsidDel="00000000" w:rsidR="00000000" w:rsidRPr="00000000">
        <w:rPr>
          <w:rtl w:val="0"/>
        </w:rPr>
        <w:t xml:space="preserve">) y kinésicos (</w:t>
      </w:r>
      <w:r w:rsidDel="00000000" w:rsidR="00000000" w:rsidRPr="00000000">
        <w:rPr>
          <w:b w:val="1"/>
          <w:bCs w:val="1"/>
          <w:rtl w:val="0"/>
        </w:rPr>
        <w:t xml:space="preserve">ING KTM</w:t>
      </w:r>
      <w:r w:rsidDel="00000000" w:rsidR="00000000" w:rsidRPr="00000000">
        <w:rPr>
          <w:rtl w:val="0"/>
        </w:rPr>
        <w:t xml:space="preserve">).</w:t>
      </w:r>
    </w:p>
    <w:p w:rsidR="00000000" w:rsidDel="00000000" w:rsidP="00000000" w:rsidRDefault="00000000" w:rsidRPr="00000000" w14:paraId="00000022">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NTP</w:t>
      </w:r>
      <w:r w:rsidDel="00000000" w:rsidR="00000000" w:rsidRPr="00000000">
        <w:rPr>
          <w:rtl w:val="0"/>
        </w:rPr>
        <w:t xml:space="preserve"> (Nutrición Parenteral): Indica soporte nutricional complejo, como en el caso de Nestor Riquelme Bascur.</w:t>
      </w:r>
    </w:p>
    <w:p w:rsidR="00000000" w:rsidDel="00000000" w:rsidP="00000000" w:rsidRDefault="00000000" w:rsidRPr="00000000" w14:paraId="00000023">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EV. FONO</w:t>
      </w:r>
      <w:r w:rsidDel="00000000" w:rsidR="00000000" w:rsidRPr="00000000">
        <w:rPr>
          <w:rtl w:val="0"/>
        </w:rPr>
        <w:t xml:space="preserve"> (Evaluación Fonoaudiológica): E.g., para María Sepúlveda Sepúlveda.</w:t>
      </w:r>
    </w:p>
    <w:p w:rsidR="00000000" w:rsidDel="00000000" w:rsidP="00000000" w:rsidRDefault="00000000" w:rsidRPr="00000000" w14:paraId="00000024">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CS</w:t>
      </w:r>
      <w:r w:rsidDel="00000000" w:rsidR="00000000" w:rsidRPr="00000000">
        <w:rPr>
          <w:rtl w:val="0"/>
        </w:rPr>
        <w:t xml:space="preserve"> (Curación Simple): Solicitada, por ejemplo, para María Belmar Belmar (incluyendo retiro de grapas frontal).</w:t>
      </w:r>
    </w:p>
    <w:p w:rsidR="00000000" w:rsidDel="00000000" w:rsidP="00000000" w:rsidRDefault="00000000" w:rsidRPr="00000000" w14:paraId="0000002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Caso Clínico Complejo (Estudio de Síndrome Ictérico/Leptospirosis):</w:t>
      </w:r>
    </w:p>
    <w:p w:rsidR="00000000" w:rsidDel="00000000" w:rsidP="00000000" w:rsidRDefault="00000000" w:rsidRPr="00000000" w14:paraId="00000026">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Complicación Diagnóstica:</w:t>
      </w:r>
      <w:r w:rsidDel="00000000" w:rsidR="00000000" w:rsidRPr="00000000">
        <w:rPr>
          <w:rtl w:val="0"/>
        </w:rPr>
        <w:t xml:space="preserve"> El caso de un joven de 17 años ilustra el manejo de diagnósticos diferenciales complejos, descartando inicialmente cuadro biliar obstructivo por ECO/TAC y hepatitis virales (A, B, C y VIH negativos).</w:t>
      </w:r>
    </w:p>
    <w:p w:rsidR="00000000" w:rsidDel="00000000" w:rsidP="00000000" w:rsidRDefault="00000000" w:rsidRPr="00000000" w14:paraId="00000027">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Coordinación de Alto Nivel:</w:t>
      </w:r>
      <w:r w:rsidDel="00000000" w:rsidR="00000000" w:rsidRPr="00000000">
        <w:rPr>
          <w:rtl w:val="0"/>
        </w:rPr>
        <w:t xml:space="preserve"> La gestión del caso involucró la conversación con el Jefe de Servicio, la </w:t>
      </w:r>
      <w:r w:rsidDel="00000000" w:rsidR="00000000" w:rsidRPr="00000000">
        <w:rPr>
          <w:b w:val="1"/>
          <w:bCs w:val="1"/>
          <w:rtl w:val="0"/>
        </w:rPr>
        <w:t xml:space="preserve">Notificación EPIVIGILA</w:t>
      </w:r>
      <w:r w:rsidDel="00000000" w:rsidR="00000000" w:rsidRPr="00000000">
        <w:rPr>
          <w:rtl w:val="0"/>
        </w:rPr>
        <w:t xml:space="preserve"> y el envío de una muestra a Santiago, con un tiempo de espera de ~15 días hábiles para el resultado serológico de Leptospirosis.</w:t>
      </w:r>
    </w:p>
    <w:p w:rsidR="00000000" w:rsidDel="00000000" w:rsidP="00000000" w:rsidRDefault="00000000" w:rsidRPr="00000000" w14:paraId="00000028">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Rol de HODOM en la Continuidad:</w:t>
      </w:r>
      <w:r w:rsidDel="00000000" w:rsidR="00000000" w:rsidRPr="00000000">
        <w:rPr>
          <w:rtl w:val="0"/>
        </w:rPr>
        <w:t xml:space="preserve"> El plan médico contempla el </w:t>
      </w:r>
      <w:r w:rsidDel="00000000" w:rsidR="00000000" w:rsidRPr="00000000">
        <w:rPr>
          <w:b w:val="1"/>
          <w:bCs w:val="1"/>
          <w:rtl w:val="0"/>
        </w:rPr>
        <w:t xml:space="preserve">Alta HODOM</w:t>
      </w:r>
      <w:r w:rsidDel="00000000" w:rsidR="00000000" w:rsidRPr="00000000">
        <w:rPr>
          <w:rtl w:val="0"/>
        </w:rPr>
        <w:t xml:space="preserve"> para que el paciente complete un total de 10 días de terapia antibiótica (AB), destacando el rol de la unidad en la finalización segura de tratamientos especializados fuera del hospital. Los parámetros de laboratorio del paciente mostraron una evolución favorable, con caída progresiva de transaminasas y bilirrubina.</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Fuentes:</w:t>
      </w:r>
    </w:p>
    <w:p w:rsidR="00000000" w:rsidDel="00000000" w:rsidP="00000000" w:rsidRDefault="00000000" w:rsidRPr="00000000" w14:paraId="0000002C">
      <w:pPr>
        <w:numPr>
          <w:ilvl w:val="0"/>
          <w:numId w:val="12"/>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Documento sin título</w:t>
        </w:r>
      </w:hyperlink>
      <w:r w:rsidDel="00000000" w:rsidR="00000000" w:rsidRPr="00000000">
        <w:rPr>
          <w:rtl w:val="0"/>
        </w:rPr>
      </w:r>
    </w:p>
    <w:p w:rsidR="00000000" w:rsidDel="00000000" w:rsidP="00000000" w:rsidRDefault="00000000" w:rsidRPr="00000000" w14:paraId="0000002D">
      <w:pPr>
        <w:numPr>
          <w:ilvl w:val="0"/>
          <w:numId w:val="12"/>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FEBRERO 2026.xlsx</w:t>
        </w:r>
      </w:hyperlink>
      <w:r w:rsidDel="00000000" w:rsidR="00000000" w:rsidRPr="00000000">
        <w:rPr>
          <w:rtl w:val="0"/>
        </w:rPr>
      </w:r>
    </w:p>
    <w:p w:rsidR="00000000" w:rsidDel="00000000" w:rsidP="00000000" w:rsidRDefault="00000000" w:rsidRPr="00000000" w14:paraId="0000002E">
      <w:pPr>
        <w:numPr>
          <w:ilvl w:val="0"/>
          <w:numId w:val="12"/>
        </w:numPr>
        <w:pBdr>
          <w:top w:space="0" w:sz="0" w:val="nil"/>
          <w:left w:space="0" w:sz="0" w:val="nil"/>
          <w:bottom w:space="0" w:sz="0" w:val="nil"/>
          <w:right w:space="0" w:sz="0" w:val="nil"/>
          <w:between w:space="0" w:sz="0" w:val="nil"/>
        </w:pBdr>
        <w:shd w:fill="auto" w:val="clear"/>
        <w:ind w:left="600" w:hanging="360"/>
      </w:pPr>
      <w:hyperlink r:id="rId8">
        <w:r w:rsidDel="00000000" w:rsidR="00000000" w:rsidRPr="00000000">
          <w:rPr>
            <w:color w:val="0000ee"/>
            <w:u w:val="single"/>
            <w:rtl w:val="0"/>
          </w:rPr>
          <w:t xml:space="preserve">2025 FORMULARIO HODOM</w:t>
        </w:r>
      </w:hyperlink>
      <w:r w:rsidDel="00000000" w:rsidR="00000000" w:rsidRPr="00000000">
        <w:rPr>
          <w:rtl w:val="0"/>
        </w:rPr>
      </w:r>
    </w:p>
    <w:p w:rsidR="00000000" w:rsidDel="00000000" w:rsidP="00000000" w:rsidRDefault="00000000" w:rsidRPr="00000000" w14:paraId="0000002F">
      <w:pPr>
        <w:numPr>
          <w:ilvl w:val="0"/>
          <w:numId w:val="12"/>
        </w:numPr>
        <w:pBdr>
          <w:top w:space="0" w:sz="0" w:val="nil"/>
          <w:left w:space="0" w:sz="0" w:val="nil"/>
          <w:bottom w:space="0" w:sz="0" w:val="nil"/>
          <w:right w:space="0" w:sz="0" w:val="nil"/>
          <w:between w:space="0" w:sz="0" w:val="nil"/>
        </w:pBdr>
        <w:shd w:fill="auto" w:val="clear"/>
        <w:ind w:left="600" w:hanging="360"/>
      </w:pPr>
      <w:hyperlink r:id="rId9">
        <w:r w:rsidDel="00000000" w:rsidR="00000000" w:rsidRPr="00000000">
          <w:rPr>
            <w:color w:val="0000ee"/>
            <w:u w:val="single"/>
            <w:rtl w:val="0"/>
          </w:rPr>
          <w:t xml:space="preserve">Documento sin título</w:t>
        </w:r>
      </w:hyperlink>
      <w:r w:rsidDel="00000000" w:rsidR="00000000" w:rsidRPr="00000000">
        <w:rPr>
          <w:rtl w:val="0"/>
        </w:rPr>
      </w:r>
    </w:p>
    <w:p w:rsidR="00000000" w:rsidDel="00000000" w:rsidP="00000000" w:rsidRDefault="00000000" w:rsidRPr="00000000" w14:paraId="00000030">
      <w:pPr>
        <w:numPr>
          <w:ilvl w:val="0"/>
          <w:numId w:val="12"/>
        </w:numPr>
        <w:pBdr>
          <w:top w:space="0" w:sz="0" w:val="nil"/>
          <w:left w:space="0" w:sz="0" w:val="nil"/>
          <w:bottom w:space="0" w:sz="0" w:val="nil"/>
          <w:right w:space="0" w:sz="0" w:val="nil"/>
          <w:between w:space="0" w:sz="0" w:val="nil"/>
        </w:pBdr>
        <w:shd w:fill="auto" w:val="clear"/>
        <w:ind w:left="600" w:hanging="360"/>
      </w:pPr>
      <w:hyperlink r:id="rId10">
        <w:r w:rsidDel="00000000" w:rsidR="00000000" w:rsidRPr="00000000">
          <w:rPr>
            <w:color w:val="0000ee"/>
            <w:u w:val="single"/>
            <w:rtl w:val="0"/>
          </w:rPr>
          <w:t xml:space="preserve">Hoja de derivación</w:t>
        </w:r>
      </w:hyperlink>
      <w:r w:rsidDel="00000000" w:rsidR="00000000" w:rsidRPr="00000000">
        <w:rPr>
          <w:rtl w:val="0"/>
        </w:rPr>
      </w:r>
    </w:p>
    <w:p w:rsidR="00000000" w:rsidDel="00000000" w:rsidP="00000000" w:rsidRDefault="00000000" w:rsidRPr="00000000" w14:paraId="00000031">
      <w:pPr>
        <w:numPr>
          <w:ilvl w:val="0"/>
          <w:numId w:val="12"/>
        </w:numPr>
        <w:pBdr>
          <w:top w:space="0" w:sz="0" w:val="nil"/>
          <w:left w:space="0" w:sz="0" w:val="nil"/>
          <w:bottom w:space="0" w:sz="0" w:val="nil"/>
          <w:right w:space="0" w:sz="0" w:val="nil"/>
          <w:between w:space="0" w:sz="0" w:val="nil"/>
        </w:pBdr>
        <w:shd w:fill="auto" w:val="clear"/>
        <w:ind w:left="600" w:hanging="360"/>
      </w:pPr>
      <w:hyperlink r:id="rId11">
        <w:r w:rsidDel="00000000" w:rsidR="00000000" w:rsidRPr="00000000">
          <w:rPr>
            <w:color w:val="0000ee"/>
            <w:u w:val="single"/>
            <w:rtl w:val="0"/>
          </w:rPr>
          <w:t xml:space="preserve">Documento sin título</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I4QFzG4VhgoJbD5UDP9Vu-0vO6gUx1FFz2NmB9S509c/edit" TargetMode="External"/><Relationship Id="rId10" Type="http://schemas.openxmlformats.org/officeDocument/2006/relationships/hyperlink" Target="https://docs.google.com/document/d/1thJ8BgM6rjspSA54Qk03zBL4yoHznWi-rfS0C8gkGy4/edit" TargetMode="External"/><Relationship Id="rId9" Type="http://schemas.openxmlformats.org/officeDocument/2006/relationships/hyperlink" Target="https://docs.google.com/document/d/1xTW1vp8RLKXKuIBOjKmzgektzeoLKuJb2b_gu4IUfDU/edit" TargetMode="External"/><Relationship Id="rId5" Type="http://schemas.openxmlformats.org/officeDocument/2006/relationships/styles" Target="styles.xml"/><Relationship Id="rId6" Type="http://schemas.openxmlformats.org/officeDocument/2006/relationships/hyperlink" Target="https://docs.google.com/document/d/1-Cdlt3ARgy8508iDi2MUlQSD5GJV-aNA-cwpL69zb_Y/edit" TargetMode="External"/><Relationship Id="rId7" Type="http://schemas.openxmlformats.org/officeDocument/2006/relationships/hyperlink" Target="https://drive.google.com/open?id=1VWrwWDQxD-s5qmy9fCSBabjt3JB6gbPH" TargetMode="External"/><Relationship Id="rId8" Type="http://schemas.openxmlformats.org/officeDocument/2006/relationships/hyperlink" Target="https://docs.google.com/spreadsheets/d/1i-tVRxbP1aHS0Qkuf767cqS5Y7dewVlk_wX6piS4B9k/edit#gid=16848567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