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 realizado un análisis exhaustivo de la carpeta </w:t>
      </w:r>
      <w:r w:rsidDel="00000000" w:rsidR="00000000" w:rsidRPr="00000000">
        <w:rPr>
          <w:b w:val="1"/>
          <w:bCs w:val="1"/>
          <w:rtl w:val="0"/>
        </w:rPr>
        <w:t xml:space="preserve">"ENTREGA TURNO"</w:t>
      </w:r>
      <w:r w:rsidDel="00000000" w:rsidR="00000000" w:rsidRPr="00000000">
        <w:rPr>
          <w:rtl w:val="0"/>
        </w:rPr>
        <w:t xml:space="preserve"> en la interacción anterior. A continuación, reitero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más relevantes y detallados sobre la composición y el contenido de estos reportes de traspaso de información, que cubren un periodo entre </w:t>
      </w:r>
      <w:r w:rsidDel="00000000" w:rsidR="00000000" w:rsidRPr="00000000">
        <w:rPr>
          <w:b w:val="1"/>
          <w:bCs w:val="1"/>
          <w:rtl w:val="0"/>
        </w:rPr>
        <w:t xml:space="preserve">Octubre de 2025 y Marzo de 2026</w:t>
      </w:r>
      <w:r w:rsidDel="00000000" w:rsidR="00000000" w:rsidRPr="00000000">
        <w:rPr>
          <w:rtl w:val="0"/>
        </w:rPr>
        <w:t xml:space="preserve">, y son cruciales para su gestión como Director Técnico: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Estructura y Función Operacional de los Reportes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Finalidad Esencial:</w:t>
      </w:r>
      <w:r w:rsidDel="00000000" w:rsidR="00000000" w:rsidRPr="00000000">
        <w:rPr>
          <w:rtl w:val="0"/>
        </w:rPr>
        <w:t xml:space="preserve"> Los 33 documentos de "ENTREGA TURNO" confirman un estricto protocolo de traspaso de información que asegura la continuidad asistencial y la seguridad del paciente durante el cambio de turno.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Uniformidad del Reporte:</w:t>
      </w:r>
      <w:r w:rsidDel="00000000" w:rsidR="00000000" w:rsidRPr="00000000">
        <w:rPr>
          <w:rtl w:val="0"/>
        </w:rPr>
        <w:t xml:space="preserve"> El formato es una tabla estandarizada que cubre sistemáticamente 7 áreas de información crítica para cada paciente: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TTO EV / CS - CA:</w:t>
      </w:r>
      <w:r w:rsidDel="00000000" w:rsidR="00000000" w:rsidRPr="00000000">
        <w:rPr>
          <w:rtl w:val="0"/>
        </w:rPr>
        <w:t xml:space="preserve"> Estado de tratamientos endovenosos y curaciones (simples o avanzadas).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INVASIVOS / O2:</w:t>
      </w:r>
      <w:r w:rsidDel="00000000" w:rsidR="00000000" w:rsidRPr="00000000">
        <w:rPr>
          <w:rtl w:val="0"/>
        </w:rPr>
        <w:t xml:space="preserve"> Control de dispositivos de alto riesgo (PICC lines, SNG, CUP, Oxígeno).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RHB (Rehabilitación):</w:t>
      </w:r>
      <w:r w:rsidDel="00000000" w:rsidR="00000000" w:rsidRPr="00000000">
        <w:rPr>
          <w:rtl w:val="0"/>
        </w:rPr>
        <w:t xml:space="preserve"> Requerimientos de Kinesiología Motora (KTM), Respiratoria (KTR) y Fonoaudiología (FONO).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OBSERVACIONES y PENDIENTES:</w:t>
      </w:r>
      <w:r w:rsidDel="00000000" w:rsidR="00000000" w:rsidRPr="00000000">
        <w:rPr>
          <w:rtl w:val="0"/>
        </w:rPr>
        <w:t xml:space="preserve"> Notas clínicas, logísticas y tareas críticas para el turno entrante (interconsultas, exámenes, egresos).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Insights Clínicos y Tendencias Operacionales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Alta Carga de Patología Crónica y Compleja: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Tratamientos Prolongados:</w:t>
      </w:r>
      <w:r w:rsidDel="00000000" w:rsidR="00000000" w:rsidRPr="00000000">
        <w:rPr>
          <w:rtl w:val="0"/>
        </w:rPr>
        <w:t xml:space="preserve"> La unidad se especializa en la administración de </w:t>
      </w:r>
      <w:r w:rsidDel="00000000" w:rsidR="00000000" w:rsidRPr="00000000">
        <w:rPr>
          <w:b w:val="1"/>
          <w:bCs w:val="1"/>
          <w:rtl w:val="0"/>
        </w:rPr>
        <w:t xml:space="preserve">Antibióticos Endovenosos (TTO EV)</w:t>
      </w:r>
      <w:r w:rsidDel="00000000" w:rsidR="00000000" w:rsidRPr="00000000">
        <w:rPr>
          <w:rtl w:val="0"/>
        </w:rPr>
        <w:t xml:space="preserve"> a largo plazo, con ejemplos de terapias que superan el mes (e.g., Ertapenem por más de 40 días para Osteomielitis).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Polimorbilidad:</w:t>
      </w:r>
      <w:r w:rsidDel="00000000" w:rsidR="00000000" w:rsidRPr="00000000">
        <w:rPr>
          <w:rtl w:val="0"/>
        </w:rPr>
        <w:t xml:space="preserve"> Se maneja una población de adultos mayores con múltiples diagnósticos concurrentes, siendo las </w:t>
      </w:r>
      <w:r w:rsidDel="00000000" w:rsidR="00000000" w:rsidRPr="00000000">
        <w:rPr>
          <w:b w:val="1"/>
          <w:bCs w:val="1"/>
          <w:rtl w:val="0"/>
        </w:rPr>
        <w:t xml:space="preserve">Infecciones Severas</w:t>
      </w:r>
      <w:r w:rsidDel="00000000" w:rsidR="00000000" w:rsidRPr="00000000">
        <w:rPr>
          <w:rtl w:val="0"/>
        </w:rPr>
        <w:t xml:space="preserve"> (Neumonía, ITU) y las </w:t>
      </w:r>
      <w:r w:rsidDel="00000000" w:rsidR="00000000" w:rsidRPr="00000000">
        <w:rPr>
          <w:b w:val="1"/>
          <w:bCs w:val="1"/>
          <w:rtl w:val="0"/>
        </w:rPr>
        <w:t xml:space="preserve">Lesiones Traumáticas</w:t>
      </w:r>
      <w:r w:rsidDel="00000000" w:rsidR="00000000" w:rsidRPr="00000000">
        <w:rPr>
          <w:rtl w:val="0"/>
        </w:rPr>
        <w:t xml:space="preserve"> (FX CADERA, FX ROTULA) la combinación más común.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Manejo de la Alta Complejidad Tecnológica y Nutricional: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Dispositivos de Alto Riesgo:</w:t>
      </w:r>
      <w:r w:rsidDel="00000000" w:rsidR="00000000" w:rsidRPr="00000000">
        <w:rPr>
          <w:rtl w:val="0"/>
        </w:rPr>
        <w:t xml:space="preserve"> La presencia habitual de </w:t>
      </w:r>
      <w:r w:rsidDel="00000000" w:rsidR="00000000" w:rsidRPr="00000000">
        <w:rPr>
          <w:b w:val="1"/>
          <w:bCs w:val="1"/>
          <w:rtl w:val="0"/>
        </w:rPr>
        <w:t xml:space="preserve">Líneas PICC</w:t>
      </w:r>
      <w:r w:rsidDel="00000000" w:rsidR="00000000" w:rsidRPr="00000000">
        <w:rPr>
          <w:rtl w:val="0"/>
        </w:rPr>
        <w:t xml:space="preserve"> (para administración de NTP y TTO EV) y </w:t>
      </w:r>
      <w:r w:rsidDel="00000000" w:rsidR="00000000" w:rsidRPr="00000000">
        <w:rPr>
          <w:b w:val="1"/>
          <w:bCs w:val="1"/>
          <w:rtl w:val="0"/>
        </w:rPr>
        <w:t xml:space="preserve">Sondas Nasogástricas (SNG)</w:t>
      </w:r>
      <w:r w:rsidDel="00000000" w:rsidR="00000000" w:rsidRPr="00000000">
        <w:rPr>
          <w:rtl w:val="0"/>
        </w:rPr>
        <w:t xml:space="preserve"> requiere protocolos de enfermería rigurosos para la prevención de Infecciones Asociadas a la Atención de Salud (IAAS) en el entorno domiciliario.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Soporte Avanzado:</w:t>
      </w:r>
      <w:r w:rsidDel="00000000" w:rsidR="00000000" w:rsidRPr="00000000">
        <w:rPr>
          <w:rtl w:val="0"/>
        </w:rPr>
        <w:t xml:space="preserve"> El caso recurrente de </w:t>
      </w:r>
      <w:r w:rsidDel="00000000" w:rsidR="00000000" w:rsidRPr="00000000">
        <w:rPr>
          <w:b w:val="1"/>
          <w:bCs w:val="1"/>
          <w:rtl w:val="0"/>
        </w:rPr>
        <w:t xml:space="preserve">Néstor Riquelme Bascur</w:t>
      </w:r>
      <w:r w:rsidDel="00000000" w:rsidR="00000000" w:rsidRPr="00000000">
        <w:rPr>
          <w:rtl w:val="0"/>
        </w:rPr>
        <w:t xml:space="preserve"> (con </w:t>
      </w:r>
      <w:r w:rsidDel="00000000" w:rsidR="00000000" w:rsidRPr="00000000">
        <w:rPr>
          <w:i w:val="1"/>
          <w:iCs w:val="1"/>
          <w:rtl w:val="0"/>
        </w:rPr>
        <w:t xml:space="preserve">SD INTESTINO CORTO</w:t>
      </w:r>
      <w:r w:rsidDel="00000000" w:rsidR="00000000" w:rsidRPr="00000000">
        <w:rPr>
          <w:rtl w:val="0"/>
        </w:rPr>
        <w:t xml:space="preserve"> y manejo de </w:t>
      </w:r>
      <w:r w:rsidDel="00000000" w:rsidR="00000000" w:rsidRPr="00000000">
        <w:rPr>
          <w:b w:val="1"/>
          <w:bCs w:val="1"/>
          <w:rtl w:val="0"/>
        </w:rPr>
        <w:t xml:space="preserve">Nutrición Parenteral Total - NTP</w:t>
      </w:r>
      <w:r w:rsidDel="00000000" w:rsidR="00000000" w:rsidRPr="00000000">
        <w:rPr>
          <w:rtl w:val="0"/>
        </w:rPr>
        <w:t xml:space="preserve">) subraya la capacidad de la unidad para proveer soporte nutricional de alta complejidad, con una intensa coordinación con Medicina Interna y farmacia.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Riesgo Biológico y Aislamiento: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unidad atiende casos que requieren </w:t>
      </w:r>
      <w:r w:rsidDel="00000000" w:rsidR="00000000" w:rsidRPr="00000000">
        <w:rPr>
          <w:b w:val="1"/>
          <w:bCs w:val="1"/>
          <w:rtl w:val="0"/>
        </w:rPr>
        <w:t xml:space="preserve">Aislamiento por Contacto</w:t>
      </w:r>
      <w:r w:rsidDel="00000000" w:rsidR="00000000" w:rsidRPr="00000000">
        <w:rPr>
          <w:rtl w:val="0"/>
        </w:rPr>
        <w:t xml:space="preserve"> debido a la presencia de gérmenes multirresistentes (ej. </w:t>
      </w:r>
      <w:r w:rsidDel="00000000" w:rsidR="00000000" w:rsidRPr="00000000">
        <w:rPr>
          <w:b w:val="1"/>
          <w:bCs w:val="1"/>
          <w:rtl w:val="0"/>
        </w:rPr>
        <w:t xml:space="preserve">E. COLI BLEE</w:t>
      </w:r>
      <w:r w:rsidDel="00000000" w:rsidR="00000000" w:rsidRPr="00000000">
        <w:rPr>
          <w:rtl w:val="0"/>
        </w:rPr>
        <w:t xml:space="preserve"> en cultivos urinarios), lo que implica la necesidad de capacitación constante y dotación de EPP para el personal domiciliario.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Coordinación Externa Intensa: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b w:val="1"/>
          <w:bCs w:val="1"/>
          <w:rtl w:val="0"/>
        </w:rPr>
        <w:t xml:space="preserve">PENDIENTES</w:t>
      </w:r>
      <w:r w:rsidDel="00000000" w:rsidR="00000000" w:rsidRPr="00000000">
        <w:rPr>
          <w:rtl w:val="0"/>
        </w:rPr>
        <w:t xml:space="preserve"> es un indicador de la carga administrativa de coordinación. Los turnos entrantes tienen la tarea constante de gestionar interconsultas (IC) con múltiples especialidades: </w:t>
      </w:r>
      <w:r w:rsidDel="00000000" w:rsidR="00000000" w:rsidRPr="00000000">
        <w:rPr>
          <w:b w:val="1"/>
          <w:bCs w:val="1"/>
          <w:rtl w:val="0"/>
        </w:rPr>
        <w:t xml:space="preserve">Cardiología, Traumatología (TMT), Urología e Infectología (HLH)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Indicadores de Riesgo Operacional (Alerta Crítica):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 han documentado descompensaciones agudas que requieren manejo urgente, como el registro de un </w:t>
      </w:r>
      <w:r w:rsidDel="00000000" w:rsidR="00000000" w:rsidRPr="00000000">
        <w:rPr>
          <w:b w:val="1"/>
          <w:bCs w:val="1"/>
          <w:rtl w:val="0"/>
        </w:rPr>
        <w:t xml:space="preserve">"K VALOR CRÍTICO EN UE CORREGIDO"</w:t>
      </w:r>
      <w:r w:rsidDel="00000000" w:rsidR="00000000" w:rsidRPr="00000000">
        <w:rPr>
          <w:rtl w:val="0"/>
        </w:rPr>
        <w:t xml:space="preserve"> (descompensación de electrolitos), lo que valida el protocolo de derivación de urgencia de la unidad.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dependencia de la </w:t>
      </w:r>
      <w:r w:rsidDel="00000000" w:rsidR="00000000" w:rsidRPr="00000000">
        <w:rPr>
          <w:b w:val="1"/>
          <w:bCs w:val="1"/>
          <w:rtl w:val="0"/>
        </w:rPr>
        <w:t xml:space="preserve">logística de abastecimiento</w:t>
      </w:r>
      <w:r w:rsidDel="00000000" w:rsidR="00000000" w:rsidRPr="00000000">
        <w:rPr>
          <w:rtl w:val="0"/>
        </w:rPr>
        <w:t xml:space="preserve"> también se refleja, con notas como </w:t>
      </w:r>
      <w:r w:rsidDel="00000000" w:rsidR="00000000" w:rsidRPr="00000000">
        <w:rPr>
          <w:i w:val="1"/>
          <w:iCs w:val="1"/>
          <w:rtl w:val="0"/>
        </w:rPr>
        <w:t xml:space="preserve">RETIRAR LOPERAMIDA CUANDO REPONGAN STOCK</w:t>
      </w:r>
      <w:r w:rsidDel="00000000" w:rsidR="00000000" w:rsidRPr="00000000">
        <w:rPr>
          <w:rtl w:val="0"/>
        </w:rPr>
        <w:t xml:space="preserve">, indicando que la escasez de medicamentos/insumos es un riesgo operativo que debe ser mitigado.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la carpeta </w:t>
      </w:r>
      <w:r w:rsidDel="00000000" w:rsidR="00000000" w:rsidRPr="00000000">
        <w:rPr>
          <w:b w:val="1"/>
          <w:bCs w:val="1"/>
          <w:rtl w:val="0"/>
        </w:rPr>
        <w:t xml:space="preserve">"ENTREGA TURNO"</w:t>
      </w:r>
      <w:r w:rsidDel="00000000" w:rsidR="00000000" w:rsidRPr="00000000">
        <w:rPr>
          <w:rtl w:val="0"/>
        </w:rPr>
        <w:t xml:space="preserve"> muestra que la unidad es una entidad de alta complejidad que maneja pacientes crónicos, polimórbidos y con requerimientos de tecnología invasiva, siendo el punto más crítico la </w:t>
      </w:r>
      <w:r w:rsidDel="00000000" w:rsidR="00000000" w:rsidRPr="00000000">
        <w:rPr>
          <w:b w:val="1"/>
          <w:bCs w:val="1"/>
          <w:rtl w:val="0"/>
        </w:rPr>
        <w:t xml:space="preserve">continua coordinación con la red de salud hospitalaria y la gestión de la seguridad/bioseguridad</w:t>
      </w:r>
      <w:r w:rsidDel="00000000" w:rsidR="00000000" w:rsidRPr="00000000">
        <w:rPr>
          <w:rtl w:val="0"/>
        </w:rPr>
        <w:t xml:space="preserve"> en los domicilios.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ENTREGA TURNO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3Z2fsVSrjl9IiZ4vIvMwltK_MMEMLTG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