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 analizado en detalle los archivos de la carpeta </w:t>
      </w:r>
      <w:r w:rsidDel="00000000" w:rsidR="00000000" w:rsidRPr="00000000">
        <w:rPr>
          <w:b w:val="1"/>
          <w:bCs w:val="1"/>
          <w:rtl w:val="0"/>
        </w:rPr>
        <w:t xml:space="preserve">"ENTREGA TURNO"</w:t>
      </w:r>
      <w:r w:rsidDel="00000000" w:rsidR="00000000" w:rsidRPr="00000000">
        <w:rPr>
          <w:rtl w:val="0"/>
        </w:rPr>
        <w:t xml:space="preserve">, los cuales representan los reportes diarios/bisemanales de la Unidad de Hospitalización Domiciliaria (HODOM) durante un periodo de alta actividad entre </w:t>
      </w:r>
      <w:r w:rsidDel="00000000" w:rsidR="00000000" w:rsidRPr="00000000">
        <w:rPr>
          <w:b w:val="1"/>
          <w:bCs w:val="1"/>
          <w:rtl w:val="0"/>
        </w:rPr>
        <w:t xml:space="preserve">Octubre de 2025 y Marzo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formato de informe estructurado es vital para la continuidad operativa. A continuación, se presenta un análisis exhaustivo de su composición, estructura, y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más detallados que se desprenden de su contenido: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Estructura y Composición de la Carpeta "ENTREGA TURNO"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Naturaleza del Contenido:</w:t>
      </w:r>
      <w:r w:rsidDel="00000000" w:rsidR="00000000" w:rsidRPr="00000000">
        <w:rPr>
          <w:rtl w:val="0"/>
        </w:rPr>
        <w:t xml:space="preserve"> La carpeta está compuesta por </w:t>
      </w:r>
      <w:r w:rsidDel="00000000" w:rsidR="00000000" w:rsidRPr="00000000">
        <w:rPr>
          <w:b w:val="1"/>
          <w:bCs w:val="1"/>
          <w:rtl w:val="0"/>
        </w:rPr>
        <w:t xml:space="preserve">33 documentos</w:t>
      </w:r>
      <w:r w:rsidDel="00000000" w:rsidR="00000000" w:rsidRPr="00000000">
        <w:rPr>
          <w:rtl w:val="0"/>
        </w:rPr>
        <w:t xml:space="preserve"> (Word/DOCX) de </w:t>
      </w:r>
      <w:r w:rsidDel="00000000" w:rsidR="00000000" w:rsidRPr="00000000">
        <w:rPr>
          <w:b w:val="1"/>
          <w:bCs w:val="1"/>
          <w:rtl w:val="0"/>
        </w:rPr>
        <w:t xml:space="preserve">"ENTREGA TURNO"</w:t>
      </w:r>
      <w:r w:rsidDel="00000000" w:rsidR="00000000" w:rsidRPr="00000000">
        <w:rPr>
          <w:rtl w:val="0"/>
        </w:rPr>
        <w:t xml:space="preserve"> con formato tabular. Esto confirma que la unidad opera bajo un estricto protocolo de traspaso de información clínica y logística entre turnos, fundamental para la seguridad y continuidad del paciente domiciliario.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Estructura del Reporte Estándar (Columnas):</w:t>
      </w:r>
      <w:r w:rsidDel="00000000" w:rsidR="00000000" w:rsidRPr="00000000">
        <w:rPr>
          <w:rtl w:val="0"/>
        </w:rPr>
        <w:t xml:space="preserve"> El formato del informe es una matriz uniforme, esencial para la recopilación de datos clave: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NOMBRE PACIENTE</w:t>
      </w:r>
      <w:r w:rsidDel="00000000" w:rsidR="00000000" w:rsidRPr="00000000">
        <w:rPr>
          <w:rtl w:val="0"/>
        </w:rPr>
        <w:t xml:space="preserve">: Identificación.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EDAD / DIAGNÓSTICO</w:t>
      </w:r>
      <w:r w:rsidDel="00000000" w:rsidR="00000000" w:rsidRPr="00000000">
        <w:rPr>
          <w:rtl w:val="0"/>
        </w:rPr>
        <w:t xml:space="preserve">: Información demográfica y morbilidad.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TTO EV / CS - CA</w:t>
      </w:r>
      <w:r w:rsidDel="00000000" w:rsidR="00000000" w:rsidRPr="00000000">
        <w:rPr>
          <w:rtl w:val="0"/>
        </w:rPr>
        <w:t xml:space="preserve">: Gestión de tratamientos endovenosos (TTO EV) y procedimientos de curación (Curaciones Simples/Avanzadas).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INVASIVOS / O2</w:t>
      </w:r>
      <w:r w:rsidDel="00000000" w:rsidR="00000000" w:rsidRPr="00000000">
        <w:rPr>
          <w:rtl w:val="0"/>
        </w:rPr>
        <w:t xml:space="preserve">: Información sobre dispositivos de alto riesgo (Vías Venosas Periféricas (VVP), Líneas PICC, Sondas Nasogástricas (SNG), Catéteres Urinarios Permanentes (CUP), Oxígeno (O2)).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RHB</w:t>
      </w:r>
      <w:r w:rsidDel="00000000" w:rsidR="00000000" w:rsidRPr="00000000">
        <w:rPr>
          <w:rtl w:val="0"/>
        </w:rPr>
        <w:t xml:space="preserve"> (Rehabilitación): Participación de Kinesiología (KTM/KTR) y Fonoaudiología (FONO).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Notas clínicas, logísticas y administrativas del caso.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PENDIENTES</w:t>
      </w:r>
      <w:r w:rsidDel="00000000" w:rsidR="00000000" w:rsidRPr="00000000">
        <w:rPr>
          <w:rtl w:val="0"/>
        </w:rPr>
        <w:t xml:space="preserve">: Tareas críticas para el turno entrante (interconsultas, exámenes, egresos, etc.).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Insights Detallados y Tendencias Operacionales (Octubre 2025 - Marzo 2026)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Alta Carga de Enfermedad Crónica y Aguda (Doble Carga):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Infecciones Severas:</w:t>
      </w:r>
      <w:r w:rsidDel="00000000" w:rsidR="00000000" w:rsidRPr="00000000">
        <w:rPr>
          <w:rtl w:val="0"/>
        </w:rPr>
        <w:t xml:space="preserve"> La gestión de </w:t>
      </w:r>
      <w:r w:rsidDel="00000000" w:rsidR="00000000" w:rsidRPr="00000000">
        <w:rPr>
          <w:b w:val="1"/>
          <w:bCs w:val="1"/>
          <w:rtl w:val="0"/>
        </w:rPr>
        <w:t xml:space="preserve">Antibióticos Endovenosos (TTO EV)</w:t>
      </w:r>
      <w:r w:rsidDel="00000000" w:rsidR="00000000" w:rsidRPr="00000000">
        <w:rPr>
          <w:rtl w:val="0"/>
        </w:rPr>
        <w:t xml:space="preserve"> a largo plazo es una actividad central. Se observan tratamientos prolongados, como el caso de </w:t>
      </w:r>
      <w:r w:rsidDel="00000000" w:rsidR="00000000" w:rsidRPr="00000000">
        <w:rPr>
          <w:b w:val="1"/>
          <w:bCs w:val="1"/>
          <w:rtl w:val="0"/>
        </w:rPr>
        <w:t xml:space="preserve">Luis Maldonado Burgos (59 años)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Osteomielitis</w:t>
      </w:r>
      <w:r w:rsidDel="00000000" w:rsidR="00000000" w:rsidRPr="00000000">
        <w:rPr>
          <w:rtl w:val="0"/>
        </w:rPr>
        <w:t xml:space="preserve">, quien recibió </w:t>
      </w:r>
      <w:r w:rsidDel="00000000" w:rsidR="00000000" w:rsidRPr="00000000">
        <w:rPr>
          <w:b w:val="1"/>
          <w:bCs w:val="1"/>
          <w:rtl w:val="0"/>
        </w:rPr>
        <w:t xml:space="preserve">ERTA (Ertapenem)</w:t>
      </w:r>
      <w:r w:rsidDel="00000000" w:rsidR="00000000" w:rsidRPr="00000000">
        <w:rPr>
          <w:rtl w:val="0"/>
        </w:rPr>
        <w:t xml:space="preserve"> hasta por 41 días.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Polimorbilidad en Adultos Mayores:</w:t>
      </w:r>
      <w:r w:rsidDel="00000000" w:rsidR="00000000" w:rsidRPr="00000000">
        <w:rPr>
          <w:rtl w:val="0"/>
        </w:rPr>
        <w:t xml:space="preserve"> La unidad trata consistentemente a pacientes con múltiples diagnósticos. Ejemplos comunes son las fracturas (</w:t>
      </w:r>
      <w:r w:rsidDel="00000000" w:rsidR="00000000" w:rsidRPr="00000000">
        <w:rPr>
          <w:i w:val="1"/>
          <w:iCs w:val="1"/>
          <w:rtl w:val="0"/>
        </w:rPr>
        <w:t xml:space="preserve">FX CADERA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FX ROTULA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FX PERONÉ</w:t>
      </w:r>
      <w:r w:rsidDel="00000000" w:rsidR="00000000" w:rsidRPr="00000000">
        <w:rPr>
          <w:rtl w:val="0"/>
        </w:rPr>
        <w:t xml:space="preserve">) concurrentes con infecciones (</w:t>
      </w:r>
      <w:r w:rsidDel="00000000" w:rsidR="00000000" w:rsidRPr="00000000">
        <w:rPr>
          <w:i w:val="1"/>
          <w:iCs w:val="1"/>
          <w:rtl w:val="0"/>
        </w:rPr>
        <w:t xml:space="preserve">NEUMONÍA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ITU</w:t>
      </w:r>
      <w:r w:rsidDel="00000000" w:rsidR="00000000" w:rsidRPr="00000000">
        <w:rPr>
          <w:rtl w:val="0"/>
        </w:rPr>
        <w:t xml:space="preserve">) o eventos agudos (</w:t>
      </w:r>
      <w:r w:rsidDel="00000000" w:rsidR="00000000" w:rsidRPr="00000000">
        <w:rPr>
          <w:i w:val="1"/>
          <w:iCs w:val="1"/>
          <w:rtl w:val="0"/>
        </w:rPr>
        <w:t xml:space="preserve">ACV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Riesgo Biológico:</w:t>
      </w:r>
      <w:r w:rsidDel="00000000" w:rsidR="00000000" w:rsidRPr="00000000">
        <w:rPr>
          <w:rtl w:val="0"/>
        </w:rPr>
        <w:t xml:space="preserve"> Se mantiene un manejo constante de pacientes con cultivos positivos y/o aislamiento. Se mencionan </w:t>
      </w:r>
      <w:r w:rsidDel="00000000" w:rsidR="00000000" w:rsidRPr="00000000">
        <w:rPr>
          <w:i w:val="1"/>
          <w:iCs w:val="1"/>
          <w:rtl w:val="0"/>
        </w:rPr>
        <w:t xml:space="preserve">AISL. CONTACTO</w:t>
      </w:r>
      <w:r w:rsidDel="00000000" w:rsidR="00000000" w:rsidRPr="00000000">
        <w:rPr>
          <w:rtl w:val="0"/>
        </w:rPr>
        <w:t xml:space="preserve"> por gérmenes multirresistentes (e.g., </w:t>
      </w:r>
      <w:r w:rsidDel="00000000" w:rsidR="00000000" w:rsidRPr="00000000">
        <w:rPr>
          <w:b w:val="1"/>
          <w:bCs w:val="1"/>
          <w:rtl w:val="0"/>
        </w:rPr>
        <w:t xml:space="preserve">E. COLI BLEE</w:t>
      </w:r>
      <w:r w:rsidDel="00000000" w:rsidR="00000000" w:rsidRPr="00000000">
        <w:rPr>
          <w:rtl w:val="0"/>
        </w:rPr>
        <w:t xml:space="preserve"> en Laura Saldaña Cerda, Marta Muñoz Reyes, Juanita Correa Navarrete) o cuadros virales como </w:t>
      </w:r>
      <w:r w:rsidDel="00000000" w:rsidR="00000000" w:rsidRPr="00000000">
        <w:rPr>
          <w:b w:val="1"/>
          <w:bCs w:val="1"/>
          <w:rtl w:val="0"/>
        </w:rPr>
        <w:t xml:space="preserve">Metapneumovirus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Complejidad de las Prestaciones Invasivas y de Soporte: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Dispositivos Críticos:</w:t>
      </w:r>
      <w:r w:rsidDel="00000000" w:rsidR="00000000" w:rsidRPr="00000000">
        <w:rPr>
          <w:rtl w:val="0"/>
        </w:rPr>
        <w:t xml:space="preserve"> La presencia recurrente de líneas PICC (e.g., Luis Maldonado Burgos, Néstor Riquelme Bascur), Sondas Nasogástricas (SNG) y Catéteres Urinarios Permanentes (CUP) exige un protocolo de enfermería riguroso para la prevención de Infecciones Asociadas a la Atención de Salud (IAAS) en el domicilio.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Soporte Nutricional Avanzado:</w:t>
      </w:r>
      <w:r w:rsidDel="00000000" w:rsidR="00000000" w:rsidRPr="00000000">
        <w:rPr>
          <w:rtl w:val="0"/>
        </w:rPr>
        <w:t xml:space="preserve"> El manejo de la </w:t>
      </w:r>
      <w:r w:rsidDel="00000000" w:rsidR="00000000" w:rsidRPr="00000000">
        <w:rPr>
          <w:b w:val="1"/>
          <w:bCs w:val="1"/>
          <w:rtl w:val="0"/>
        </w:rPr>
        <w:t xml:space="preserve">Nutrición Parenteral Total (NTP)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Néstor Riquelme Bascur (57 años)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i w:val="1"/>
          <w:iCs w:val="1"/>
          <w:rtl w:val="0"/>
        </w:rPr>
        <w:t xml:space="preserve">SD INTESTINO CORTO</w:t>
      </w:r>
      <w:r w:rsidDel="00000000" w:rsidR="00000000" w:rsidRPr="00000000">
        <w:rPr>
          <w:rtl w:val="0"/>
        </w:rPr>
        <w:t xml:space="preserve"> es un caso de muy alta complejidad, requiriendo curación de línea PICC semanal, exámenes de control constantes y coordinación con Medicina Interna (Dr. Mella).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la Continuidad de la Atención (Flujo Operacional):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Rehabilitación Domiciliaria como Eje:</w:t>
      </w:r>
      <w:r w:rsidDel="00000000" w:rsidR="00000000" w:rsidRPr="00000000">
        <w:rPr>
          <w:rtl w:val="0"/>
        </w:rPr>
        <w:t xml:space="preserve"> El componente de </w:t>
      </w:r>
      <w:r w:rsidDel="00000000" w:rsidR="00000000" w:rsidRPr="00000000">
        <w:rPr>
          <w:b w:val="1"/>
          <w:bCs w:val="1"/>
          <w:rtl w:val="0"/>
        </w:rPr>
        <w:t xml:space="preserve">RHB</w:t>
      </w:r>
      <w:r w:rsidDel="00000000" w:rsidR="00000000" w:rsidRPr="00000000">
        <w:rPr>
          <w:rtl w:val="0"/>
        </w:rPr>
        <w:t xml:space="preserve"> (Rehabilitación) es casi omnipresente. Los diagnósticos de ACV, Neumonía y fracturas requieren consistentemente servicios de KTM, KTR y FONO, indicando que la unidad es una pieza clave en la recuperación funcional del paciente posterior al alta hospitalaria.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Coordinación Externa y Consultas:</w:t>
      </w:r>
      <w:r w:rsidDel="00000000" w:rsidR="00000000" w:rsidRPr="00000000">
        <w:rPr>
          <w:rtl w:val="0"/>
        </w:rPr>
        <w:t xml:space="preserve"> La columna </w:t>
      </w:r>
      <w:r w:rsidDel="00000000" w:rsidR="00000000" w:rsidRPr="00000000">
        <w:rPr>
          <w:i w:val="1"/>
          <w:iCs w:val="1"/>
          <w:rtl w:val="0"/>
        </w:rPr>
        <w:t xml:space="preserve">PENDIENTES</w:t>
      </w:r>
      <w:r w:rsidDel="00000000" w:rsidR="00000000" w:rsidRPr="00000000">
        <w:rPr>
          <w:rtl w:val="0"/>
        </w:rPr>
        <w:t xml:space="preserve"> refleja una intensa actividad de coordinación con servicios externos. Se solicitan constantemente interconsultas (IC) con Cardiología, Neurocirugía, Urología y Traumatología (TMT).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Criterios de Egreso y Dependencia:</w:t>
      </w:r>
      <w:r w:rsidDel="00000000" w:rsidR="00000000" w:rsidRPr="00000000">
        <w:rPr>
          <w:rtl w:val="0"/>
        </w:rPr>
        <w:t xml:space="preserve"> El egreso de pacientes a la Atención Primaria de Salud (APS) está supeditado a la finalización de tratamientos (e.g., </w:t>
      </w:r>
      <w:r w:rsidDel="00000000" w:rsidR="00000000" w:rsidRPr="00000000">
        <w:rPr>
          <w:i w:val="1"/>
          <w:iCs w:val="1"/>
          <w:rtl w:val="0"/>
        </w:rPr>
        <w:t xml:space="preserve">UC AL TÉRMINO DE TTO VO POR APS</w:t>
      </w:r>
      <w:r w:rsidDel="00000000" w:rsidR="00000000" w:rsidRPr="00000000">
        <w:rPr>
          <w:rtl w:val="0"/>
        </w:rPr>
        <w:t xml:space="preserve">) o a la activación de la Garantía Explícita en Salud (GES) para patologías como el ACV, lo que requiere estandarizar el traspaso de información.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Casos de Alerta Específicos: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Pacientes Crónicos de Larga Estada: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Luis Maldonado Burgos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Néstor Riquelme Bascur</w:t>
      </w:r>
      <w:r w:rsidDel="00000000" w:rsidR="00000000" w:rsidRPr="00000000">
        <w:rPr>
          <w:rtl w:val="0"/>
        </w:rPr>
        <w:t xml:space="preserve"> demuestran estadas prolongadas (varios meses) con alta necesidad de exámenes semanales, ajustes de medicación por Infectología de Hospital de Alta Complejidad (HLH) y múltiples procedimientos vasculares, lo que requiere un seguimiento médico reforzado.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Alerta de Seguridad del Paciente (Luis Maldonado Burgos):</w:t>
      </w:r>
      <w:r w:rsidDel="00000000" w:rsidR="00000000" w:rsidRPr="00000000">
        <w:rPr>
          <w:rtl w:val="0"/>
        </w:rPr>
        <w:t xml:space="preserve"> El registro del 01-02 Marzo 2026 destaca un </w:t>
      </w:r>
      <w:r w:rsidDel="00000000" w:rsidR="00000000" w:rsidRPr="00000000">
        <w:rPr>
          <w:i w:val="1"/>
          <w:iCs w:val="1"/>
          <w:rtl w:val="0"/>
        </w:rPr>
        <w:t xml:space="preserve">K VALOR CRÍTICO EN UE CORREGIDO</w:t>
      </w:r>
      <w:r w:rsidDel="00000000" w:rsidR="00000000" w:rsidRPr="00000000">
        <w:rPr>
          <w:rtl w:val="0"/>
        </w:rPr>
        <w:t xml:space="preserve">, lo que indica que el paciente tuvo una descompensación grave de electrolitos que requirió una derivación urgente y que fue corregida antes del siguiente turno.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Gestión Logística Crítica:</w:t>
      </w:r>
      <w:r w:rsidDel="00000000" w:rsidR="00000000" w:rsidRPr="00000000">
        <w:rPr>
          <w:rtl w:val="0"/>
        </w:rPr>
        <w:t xml:space="preserve"> El reporte incluye la necesidad de coordinar ambulancias para controles externos (e.g., Norma Molina Urrutia, Alicia Valenzuela Hernandez), y el riesgo de desabastecimiento de insumos críticos (e.g., </w:t>
      </w:r>
      <w:r w:rsidDel="00000000" w:rsidR="00000000" w:rsidRPr="00000000">
        <w:rPr>
          <w:i w:val="1"/>
          <w:iCs w:val="1"/>
          <w:rtl w:val="0"/>
        </w:rPr>
        <w:t xml:space="preserve">RETIRAR LOPERAMIDA CUANDO REPONGAN STOCK</w:t>
      </w:r>
      <w:r w:rsidDel="00000000" w:rsidR="00000000" w:rsidRPr="00000000">
        <w:rPr>
          <w:rtl w:val="0"/>
        </w:rPr>
        <w:t xml:space="preserve"> para Néstor Riquelme Bascur).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ENTREGA TURNO 03-04 FEBRERO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ENTREGA TURNO 01-02 MARZO 2026.docx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TURNO 04-05 OCTUBRE 2025.docx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TURNO 09-10 DICIEMBRE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ENTREGA TURNO 01-02 FEBRERO 2026.docx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ENTREGA TURNO 26-27 ENERO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ENTREGA TURNO 27-28 FEBRERO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ENTREGA TURNO 29-31 DICIEMBRE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ENTREGA TURNO 16-17 ENERO 2026.docx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ENTREGA TURNO 20-21 OCTUBRE 2025.docx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TURNO 12-13 OCTUBRE 2025.docx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ENTREGA TURNO 18-19 ENERO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ENTREGA TURNO 25-26 NOVIEMBRE 2025.docx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ENTREGA TURNO 07-08 FEBRERO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ENTREGA TURNO 21-22 NOVIEMBRE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ENTREGA TURNO 04-05 ENERO 2026.docx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ENTREGA TURNO 08-09 ENERO 2026.docx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ENTREGA TURNO 03-04 DICIEMBRE 2025.docx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ENTREGA TURNO 20-21 ENERO 2026.docx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ENTREGA TURNO 15-16 FEBRERO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ENTREGA TURNO 30-31 ENERO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ENTREGA TURNO 03-04 MARZO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TURNO 14-15 OCTUBRE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ENTREGA TURNO 06-07 ENERO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TURNO 18-19 SEPTIEMBRE.docx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TURNO 06-07 SEPTIEMBRE.docx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TURNO 11-12 DICIEMBRE 2025.docx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TURNO 07-08 DICIEMBRE 2025.docx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open?id=1lZ2xpo1Uiwy-ZGBWNmAAXI3Aitjjo84N" TargetMode="External"/><Relationship Id="rId22" Type="http://schemas.openxmlformats.org/officeDocument/2006/relationships/hyperlink" Target="https://drive.google.com/open?id=1Vh8IckQIr9WrKhINWHKaRxtvPlwbwcQm" TargetMode="External"/><Relationship Id="rId21" Type="http://schemas.openxmlformats.org/officeDocument/2006/relationships/hyperlink" Target="https://drive.google.com/open?id=1nwjbGPCx9kEJwmsCwxHCJkeFt1u6U2eU" TargetMode="External"/><Relationship Id="rId24" Type="http://schemas.openxmlformats.org/officeDocument/2006/relationships/hyperlink" Target="https://drive.google.com/open?id=18uUcXaJXvEd11OTVhO1jg9VZG0fXN7oX" TargetMode="External"/><Relationship Id="rId23" Type="http://schemas.openxmlformats.org/officeDocument/2006/relationships/hyperlink" Target="https://drive.google.com/open?id=1SbLhYhju3yPAvIOn3FB2QROn3KAuw4b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c6Li849eIQbFsFSeToXQi9GSolQMgRE0" TargetMode="External"/><Relationship Id="rId26" Type="http://schemas.openxmlformats.org/officeDocument/2006/relationships/hyperlink" Target="https://drive.google.com/open?id=1aJUcl9GAiE3cLJpCrOilO8RfhSJXt_74" TargetMode="External"/><Relationship Id="rId25" Type="http://schemas.openxmlformats.org/officeDocument/2006/relationships/hyperlink" Target="https://drive.google.com/open?id=1lStcZokcuSOyr2fyu19JbIYMMc4qKur3" TargetMode="External"/><Relationship Id="rId28" Type="http://schemas.openxmlformats.org/officeDocument/2006/relationships/hyperlink" Target="https://drive.google.com/open?id=1-aeXverc-ab5QWcTmLFiCHtZPSxncRQG" TargetMode="External"/><Relationship Id="rId27" Type="http://schemas.openxmlformats.org/officeDocument/2006/relationships/hyperlink" Target="https://drive.google.com/open?id=16ZOECD_rMnyVPk7HpM6Ys2b9yAqTp_yI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gjT42wcuyGkeJ8drbIxI7KQE_l3W4Hku" TargetMode="External"/><Relationship Id="rId29" Type="http://schemas.openxmlformats.org/officeDocument/2006/relationships/hyperlink" Target="https://drive.google.com/open?id=13Ak_wzYrGzx4cZznewKOX6ELP5amqqe4" TargetMode="External"/><Relationship Id="rId7" Type="http://schemas.openxmlformats.org/officeDocument/2006/relationships/hyperlink" Target="https://drive.google.com/open?id=1AdZILWTqTsFw3PiEuCdVMEUjsai5raZL" TargetMode="External"/><Relationship Id="rId8" Type="http://schemas.openxmlformats.org/officeDocument/2006/relationships/hyperlink" Target="https://drive.google.com/open?id=1LU3cxT6wt6yKWQBwRvrPdCWHk4Mu-Nu_" TargetMode="External"/><Relationship Id="rId31" Type="http://schemas.openxmlformats.org/officeDocument/2006/relationships/hyperlink" Target="https://drive.google.com/open?id=18gvDF_fc7nIv7584Lcs2s72CiOmoM5Sc" TargetMode="External"/><Relationship Id="rId30" Type="http://schemas.openxmlformats.org/officeDocument/2006/relationships/hyperlink" Target="https://drive.google.com/open?id=1ZgDLS8aMO8BbMSNjgbIOdgEZjMbOHAs8" TargetMode="External"/><Relationship Id="rId11" Type="http://schemas.openxmlformats.org/officeDocument/2006/relationships/hyperlink" Target="https://drive.google.com/open?id=1evQJmdXIWwTIBkjqdVNGoT2NYo5XdnYd" TargetMode="External"/><Relationship Id="rId33" Type="http://schemas.openxmlformats.org/officeDocument/2006/relationships/hyperlink" Target="https://drive.google.com/open?id=1i5ki0XoXo_QpUZmNpwtOErIelAe37Dfy" TargetMode="External"/><Relationship Id="rId10" Type="http://schemas.openxmlformats.org/officeDocument/2006/relationships/hyperlink" Target="https://drive.google.com/open?id=1r0ZV3nTCxlyYRw4ydMBULJUd0CVUr605" TargetMode="External"/><Relationship Id="rId32" Type="http://schemas.openxmlformats.org/officeDocument/2006/relationships/hyperlink" Target="https://drive.google.com/open?id=1OWFwlqbjbQlN3jEDw4Y7WsBp_R56vFoK" TargetMode="External"/><Relationship Id="rId13" Type="http://schemas.openxmlformats.org/officeDocument/2006/relationships/hyperlink" Target="https://drive.google.com/open?id=1-Oa-pTTvREJ0F_RbHLSIuhREr0N1-6oh" TargetMode="External"/><Relationship Id="rId12" Type="http://schemas.openxmlformats.org/officeDocument/2006/relationships/hyperlink" Target="https://drive.google.com/open?id=1Q0dStWzgrqohGKwnb6yMPMx7nuPCZzz1" TargetMode="External"/><Relationship Id="rId15" Type="http://schemas.openxmlformats.org/officeDocument/2006/relationships/hyperlink" Target="https://drive.google.com/open?id=1H2X1nDy3IakpjEo20irkFEwXuZTrLEEI" TargetMode="External"/><Relationship Id="rId14" Type="http://schemas.openxmlformats.org/officeDocument/2006/relationships/hyperlink" Target="https://drive.google.com/open?id=14aCgJ2h90RrShnNU2vRVRGHAOgpSypTN" TargetMode="External"/><Relationship Id="rId17" Type="http://schemas.openxmlformats.org/officeDocument/2006/relationships/hyperlink" Target="https://drive.google.com/open?id=1V8qG-VDpgPhCJQdrjTwGNw9cnNJnCQuP" TargetMode="External"/><Relationship Id="rId16" Type="http://schemas.openxmlformats.org/officeDocument/2006/relationships/hyperlink" Target="https://drive.google.com/open?id=1ACkaXfRseGrQwDmmh2napJgHc-caaqCq" TargetMode="External"/><Relationship Id="rId19" Type="http://schemas.openxmlformats.org/officeDocument/2006/relationships/hyperlink" Target="https://drive.google.com/open?id=1RIj4v12LSAcV31P_ORwo3mWme93eRPdj" TargetMode="External"/><Relationship Id="rId18" Type="http://schemas.openxmlformats.org/officeDocument/2006/relationships/hyperlink" Target="https://drive.google.com/open?id=14ccuYZwf9SOl2uXVZ8P-57NJXcCqEMH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