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一、精心组织走访慰问活动。各级各部门要深入基层一线，走访慰问困难群众、优抚对象、劳动模范等，切实帮助解决实际困难，把党和政府的温暖送到群众心坎上。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二、丰富节日文化生活。组织开展形式多样、内容丰富的文化体育活动，营造欢乐喜庆的节日氛围。加强文化市场管理，确保文化产品和服务供给质量。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三、保障市场供应稳定。加强重要商品产销衔接，确保粮油肉蛋菜果奶等重要商品市场供应充足、价格平稳。强化市场监管，维护良好市场秩序。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四、抓好安全生产工作。严格落实安全生产责任制，深入开展安全隐患排查整治，突出抓好交通运输、烟花爆竹、人员密集场所等重点领域安全监管，坚决防范重特大事故发生。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五、维护社会和谐稳定。加强社会治安综合治理，严厉打击各类违法犯罪活动。认真做好信访工作，及时化解矛盾纠纷。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六、倡导文明节俭过节。认真贯彻落实中央八项规定精神，持之以恒正风肃纪。倡导勤俭节约、文明过节新风尚。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七、加强应急值守工作。严格执行24小时专人值班和领导干部在岗带班制度，完善应急预案，确保节日期间各项工作正常运转。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