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rFonts w:ascii="FZXiaoBiaoSong-B05" w:hAnsi="FZXiaoBiaoSong-B05" w:eastAsia="FZXiaoBiaoSong-B05"/>
          <w:b w:val="0"/>
          <w:color w:val="FF0000"/>
          <w:sz w:val="44"/>
        </w:rPr>
        <w:t>××省纪律检查委员会文件</w:t>
      </w:r>
    </w:p>
    <w:p/>
    <w:p/>
    <w:p>
      <w:pPr>
        <w:jc w:val="center"/>
      </w:pPr>
      <w:r>
        <w:rPr>
          <w:rFonts w:ascii="FZFangSong-Z02" w:hAnsi="FZFangSong-Z02" w:eastAsia="FZFangSong-Z02"/>
          <w:b w:val="0"/>
          <w:sz w:val="32"/>
        </w:rPr>
        <w:t>×纪发〔2024〕11号</w:t>
      </w:r>
    </w:p>
    <w:p>
      <w:pPr>
        <w:jc w:val="center"/>
        <w:pBdr>
          <w:bottom w:val="single" w:sz="12" w:space="1" w:color="FF0000"/>
        </w:pBdr>
      </w:pPr>
      <w:r>
        <w:rPr>
          <w:rFonts w:ascii="FZFangSong-Z02" w:hAnsi="FZFangSong-Z02" w:eastAsia="FZFangSong-Z02"/>
          <w:b w:val="0"/>
          <w:sz w:val="32"/>
        </w:rPr>
      </w:r>
    </w:p>
    <w:p/>
    <w:p/>
    <w:p>
      <w:pPr>
        <w:jc w:val="center"/>
      </w:pPr>
      <w:r>
        <w:rPr>
          <w:rFonts w:ascii="FZXiaoBiaoSong-B05" w:hAnsi="FZXiaoBiaoSong-B05" w:eastAsia="FZXiaoBiaoSong-B05"/>
          <w:b w:val="0"/>
          <w:sz w:val="44"/>
        </w:rPr>
        <w:t>关于进一步加强反腐败工作的通知</w:t>
      </w:r>
    </w:p>
    <w:p/>
    <w:p>
      <w:pPr>
        <w:jc w:val="left"/>
      </w:pPr>
      <w:r>
        <w:rPr>
          <w:rFonts w:ascii="FZFangSong-Z02" w:hAnsi="FZFangSong-Z02" w:eastAsia="FZFangSong-Z02"/>
          <w:b w:val="0"/>
          <w:sz w:val="32"/>
        </w:rPr>
        <w:t>各市（州）纪律检查委员会、省直各单位纪检组、各派驻纪检监察组：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为深入贯彻落实党中央关于全面从严治党的决策部署，持续深化反腐败斗争，现就进一步加强反腐败工作通知如下：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一、提高政治站位，深刻认识反腐败斗争的重要性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各级纪检监察机关要深刻认识反腐败斗争的长期性、复杂性、艰巨性，始终保持惩治腐败高压态势，坚决打赢反腐败斗争攻坚战持久战。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二、突出工作重点，精准有效惩治腐败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（一）聚焦重点领域。紧盯工程建设、资源开发、金融信贷、国企经营等重点领域和关键环节，严肃查处违纪违法问题。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（二）严查重点对象。重点查处党的十八大以来不收敛不收手、问题线索反映集中、群众反映强烈的领导干部违纪违法案件。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（三）深化标本兼治。坚持受贿行贿一起查，一体推进不敢腐、不能腐、不想腐体制机制建设。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三、强化监督执纪，提升反腐败工作效能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（一）加强日常监督。运用好监督执纪'四种形态'，抓早抓小，防微杜渐。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（二）深化专项治理。针对群众反映强烈的突出问题，开展专项整治，切实维护群众利益。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（三）完善制度建设。健全权力运行制约和监督体系，扎紧制度笼子。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四、工作要求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（一）加强组织领导。各级纪检监察机关主要负责同志要亲自部署、亲自协调，确保各项任务落到实处。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（二）强化协同配合。加强纪检监察机关与司法机关、行政执法机关的协作配合，形成反腐败工作合力。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（三）严格责任追究。对工作不力、失职失责的，严肃追究责任。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请各单位结合实际，认真抓好贯彻落实。</w:t>
      </w:r>
    </w:p>
    <w:p/>
    <w:p>
      <w:pPr>
        <w:ind w:right="839"/>
        <w:jc w:val="right"/>
      </w:pPr>
      <w:r>
        <w:rPr>
          <w:rFonts w:ascii="FZFangSong-Z02" w:hAnsi="FZFangSong-Z02" w:eastAsia="FZFangSong-Z02"/>
          <w:b w:val="0"/>
          <w:sz w:val="32"/>
        </w:rPr>
        <w:t>××省纪律检查委员会</w:t>
      </w:r>
    </w:p>
    <w:p>
      <w:pPr>
        <w:ind w:right="839"/>
        <w:jc w:val="right"/>
      </w:pPr>
      <w:r>
        <w:rPr>
          <w:rFonts w:ascii="FZFangSong-Z02" w:hAnsi="FZFangSong-Z02" w:eastAsia="FZFangSong-Z02"/>
          <w:b w:val="0"/>
          <w:sz w:val="32"/>
        </w:rPr>
        <w:t>二〇二四年一月十五日</w:t>
      </w:r>
    </w:p>
    <w:p>
      <w:pPr>
        <w:jc w:val="center"/>
        <w:pBdr>
          <w:bottom w:val="single" w:sz="6" w:space="1" w:color="000000"/>
        </w:pBdr>
      </w:pPr>
      <w:r>
        <w:rPr>
          <w:rFonts w:ascii="FZFangSong-Z02" w:hAnsi="FZFangSong-Z02" w:eastAsia="FZFangSong-Z02"/>
          <w:b w:val="0"/>
          <w:sz w:val="32"/>
        </w:rPr>
      </w:r>
    </w:p>
    <w:p>
      <w:pPr>
        <w:ind w:left="320"/>
        <w:jc w:val="distribute"/>
      </w:pPr>
      <w:r>
        <w:rPr>
          <w:rFonts w:ascii="FZFangSong-Z02" w:hAnsi="FZFangSong-Z02" w:eastAsia="FZFangSong-Z02"/>
          <w:b w:val="0"/>
          <w:sz w:val="28"/>
        </w:rPr>
        <w:t>××省纪律检查委员会办公厅</w:t>
      </w:r>
      <w:r>
        <w:rPr>
          <w:rFonts w:ascii="FZFangSong-Z02" w:hAnsi="FZFangSong-Z02" w:eastAsia="FZFangSong-Z02"/>
          <w:b w:val="0"/>
          <w:sz w:val="28"/>
        </w:rPr>
        <w:t xml:space="preserve">                    2024年1月20日印发</w:t>
      </w:r>
    </w:p>
    <w:p>
      <w:pPr>
        <w:jc w:val="center"/>
        <w:pBdr>
          <w:bottom w:val="single" w:sz="6" w:space="1" w:color="000000"/>
        </w:pBdr>
      </w:pPr>
      <w:r>
        <w:rPr>
          <w:rFonts w:ascii="FZFangSong-Z02" w:hAnsi="FZFangSong-Z02" w:eastAsia="FZFangSong-Z02"/>
          <w:b w:val="0"/>
          <w:sz w:val="32"/>
        </w:rPr>
      </w:r>
    </w:p>
    <w:sectPr w:rsidR="00FC693F" w:rsidRPr="0006063C" w:rsidSect="00034616">
      <w:pgSz w:w="11906" w:h="16838"/>
      <w:pgMar w:top="2098" w:right="1587" w:bottom="2098" w:left="1587" w:header="1587" w:footer="158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