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××省纪律检查委员会文件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×纪发〔2024〕11号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关于进一步加强反腐败工作的通知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各市（州）纪委监委、省直各单位纪检监察机构、省属国有企业纪委：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为深入贯彻落实党中央关于全面从严治党战略部署，持续深化反腐败斗争，现就进一步加强反腐败工作通知如下：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一、提高政治站位，深刻认识反腐败斗争长期性复杂性艰巨性。各级纪检监察机关要始终保持清醒头脑，深刻认识反腐败斗争是一场输不起也决不能输的重大政治斗争，必须久久为功、常抓不懈。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二、聚焦重点领域，加大惩治力度。紧盯工程建设、资源开发、金融信贷、国企经营等重点领域和关键环节，严肃查处贪污贿赂、滥用职权、利益输送等违纪违法行为。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三、强化日常监督，完善防控机制。加强对权力运行的制约和监督，健全廉政风险防控机制，推动形成不敢腐、不能腐、不想腐的有效机制。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四、加强队伍建设，锻造反腐铁军。各级纪检监察干部要带头遵纪守法，自觉接受监督，打造忠诚干净担当的纪检监察队伍。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请各单位结合实际，认真抓好贯彻落实，并于2024年12月31日前将落实情况报省纪委监委办公厅。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××省纪律检查委员会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二〇二四年十一月十五日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（此件发至县团级）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抄送：省委办公厅、省政府办公厅、省人大常委会办公厅、省政协办公厅。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××省纪委监委办公厅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2024年11月20日印发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