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FZFangSong-Z02" w:hAnsi="FZFangSong-Z02" w:eastAsia="FZFangSong-Z02"/>
          <w:b w:val="0"/>
          <w:sz w:val="32"/>
        </w:rPr>
        <w:t>000123</w:t>
      </w:r>
    </w:p>
    <w:p>
      <w:pPr>
        <w:jc w:val="left"/>
      </w:pPr>
      <w:r>
        <w:rPr>
          <w:rFonts w:ascii="FZHei-B01" w:hAnsi="FZHei-B01" w:eastAsia="FZHei-B01"/>
          <w:b/>
          <w:sz w:val="32"/>
        </w:rPr>
        <w:t>秘密★一年</w:t>
      </w:r>
    </w:p>
    <w:p/>
    <w:p>
      <w:pPr>
        <w:jc w:val="center"/>
      </w:pPr>
      <w:r>
        <w:rPr>
          <w:rFonts w:ascii="FZXiaoBiaoSong-B05" w:hAnsi="FZXiaoBiaoSong-B05" w:eastAsia="FZXiaoBiaoSong-B05"/>
          <w:b w:val="0"/>
          <w:color w:val="FF0000"/>
          <w:sz w:val="44"/>
        </w:rPr>
        <w:t>中共中央文件</w:t>
      </w:r>
    </w:p>
    <w:p/>
    <w:p/>
    <w:p>
      <w:pPr>
        <w:jc w:val="center"/>
      </w:pPr>
      <w:r>
        <w:rPr>
          <w:rFonts w:ascii="FZFangSong-Z02" w:hAnsi="FZFangSong-Z02" w:eastAsia="FZFangSong-Z02"/>
          <w:b w:val="0"/>
          <w:sz w:val="32"/>
        </w:rPr>
        <w:t>中发〔2024〕15号</w:t>
      </w:r>
    </w:p>
    <w:p>
      <w:pPr>
        <w:jc w:val="center"/>
        <w:pBdr>
          <w:bottom w:val="single" w:sz="12" w:space="1" w:color="FF0000"/>
        </w:pBdr>
      </w:pPr>
      <w:r>
        <w:rPr>
          <w:rFonts w:ascii="FZFangSong-Z02" w:hAnsi="FZFangSong-Z02" w:eastAsia="FZFangSong-Z02"/>
          <w:b w:val="0"/>
          <w:sz w:val="32"/>
        </w:rPr>
      </w:r>
    </w:p>
    <w:p/>
    <w:p/>
    <w:p>
      <w:pPr>
        <w:jc w:val="center"/>
      </w:pPr>
      <w:r>
        <w:rPr>
          <w:rFonts w:ascii="FZXiaoBiaoSong-B05" w:hAnsi="FZXiaoBiaoSong-B05" w:eastAsia="FZXiaoBiaoSong-B05"/>
          <w:b w:val="0"/>
          <w:sz w:val="44"/>
        </w:rPr>
        <w:t>关于深入推进反腐败斗争的通知</w:t>
      </w:r>
    </w:p>
    <w:p/>
    <w:p>
      <w:pPr>
        <w:jc w:val="left"/>
      </w:pPr>
      <w:r>
        <w:rPr>
          <w:rFonts w:ascii="FZFangSong-Z02" w:hAnsi="FZFangSong-Z02" w:eastAsia="FZFangSong-Z02"/>
          <w:b w:val="0"/>
          <w:sz w:val="32"/>
        </w:rPr>
        <w:t>各省、自治区、直辖市党委、中央各部委、国家机关各部委党组（党委）、解放军各大单位党委、各人民团体党组：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为深入贯彻落实党中央关于全面从严治党战略部署，坚定不移推进反腐败斗争向纵深发展，现就有关事项通知如下：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一、深刻认识反腐败斗争的极端重要性。反腐败斗争是关系党和国家生死存亡的重大政治任务。当前，反腐败斗争形势依然严峻复杂，腐败问题产生的土壤和条件尚未彻底铲除。各级党组织和党员干部必须保持清醒头脑，深刻认识反腐败斗争的长期性、复杂性、艰巨性，切实增强政治自觉、思想自觉、行动自觉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二、坚持无禁区、全覆盖、零容忍。要始终保持惩治腐败高压态势，坚持受贿行贿一起查，坚决查处政治问题和经济问题交织的腐败案件。重点查处党的十八大以来不收敛、不收手，问题线索反映集中、群众反映强烈，政治问题和经济问题交织的腐败案件。对在党内搞政治团伙、小圈子、利益集团的人绝不手软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三、深化标本兼治。要坚持系统施治、标本兼治，一体推进不敢腐、不能腐、不想腐。健全完善权力运行制约和监督体系，加强对"一把手"和领导班子的监督，推动各类监督贯通协调。深化重点领域反腐败工作，聚焦金融、国有企业、工程建设、资源开发等领域，坚决清理风险隐患大的行业性、系统性腐败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四、加强廉洁文化建设。要弘扬党的光荣传统和优良作风，开展有针对性的党性教育、警示教育，注重家庭家教家风建设，构建清廉社会生态。教育引导党员干部从思想深处筑牢拒腐防变堤坝，做到公正用权、依法用权、为民用权、廉洁用权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五、压实主体责任。各级党委（党组）要切实担负起全面从严治党主体责任，党委（党组）书记要履行好第一责任人责任，班子成员要履行好"一岗双责"。纪检监察机关要履行好监督责任，敢于监督、善于监督，推动主体责任和监督责任贯通协同、一体落实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六、强化制度保障。要持续深化纪检监察体制改革，完善党内法规制度体系，健全反腐败法律法规，扎紧制度笼子。加强对制度执行情况的监督检查，确保制度成为硬约束而不是"橡皮筋"。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各地区各部门要结合实际，认真抓好本通知精神的贯彻落实。要定期向党中央报告反腐败斗争工作情况，重大情况及时报告。各级纪检监察机关要加强监督检查，确保党中央决策部署落到实处。</w:t>
      </w:r>
    </w:p>
    <w:p/>
    <w:p>
      <w:pPr>
        <w:ind w:right="839"/>
        <w:jc w:val="right"/>
      </w:pPr>
      <w:r>
        <w:rPr>
          <w:rFonts w:ascii="FZFangSong-Z02" w:hAnsi="FZFangSong-Z02" w:eastAsia="FZFangSong-Z02"/>
          <w:b w:val="0"/>
          <w:sz w:val="32"/>
        </w:rPr>
        <w:t>中共中央</w:t>
      </w:r>
    </w:p>
    <w:p>
      <w:pPr>
        <w:ind w:right="839"/>
        <w:jc w:val="right"/>
      </w:pPr>
      <w:r>
        <w:rPr>
          <w:rFonts w:ascii="FZFangSong-Z02" w:hAnsi="FZFangSong-Z02" w:eastAsia="FZFangSong-Z02"/>
          <w:b w:val="0"/>
          <w:sz w:val="32"/>
        </w:rPr>
        <w:t>二〇二四年十二月十五日</w:t>
      </w:r>
    </w:p>
    <w:p>
      <w:pPr>
        <w:ind w:left="640"/>
      </w:pPr>
      <w:r>
        <w:rPr>
          <w:rFonts w:ascii="FZFangSong-Z02" w:hAnsi="FZFangSong-Z02" w:eastAsia="FZFangSong-Z02"/>
          <w:b w:val="0"/>
          <w:sz w:val="32"/>
        </w:rPr>
        <w:t>（此件发至县团级）</w:t>
      </w:r>
    </w:p>
    <w:p>
      <w:pPr>
        <w:jc w:val="center"/>
        <w:pBdr>
          <w:bottom w:val="single" w:sz="6" w:space="1" w:color="000000"/>
        </w:pBdr>
      </w:pPr>
      <w:r>
        <w:rPr>
          <w:rFonts w:ascii="FZFangSong-Z02" w:hAnsi="FZFangSong-Z02" w:eastAsia="FZFangSong-Z02"/>
          <w:b w:val="0"/>
          <w:sz w:val="32"/>
        </w:rPr>
      </w:r>
    </w:p>
    <w:p>
      <w:pPr>
        <w:ind w:left="320" w:right="320"/>
      </w:pPr>
      <w:r>
        <w:rPr>
          <w:rFonts w:ascii="FZFangSong-Z02" w:hAnsi="FZFangSong-Z02" w:eastAsia="FZFangSong-Z02"/>
          <w:b w:val="0"/>
          <w:sz w:val="28"/>
        </w:rPr>
        <w:t>抄送：中央纪委国家监委机关、中央办公厅、中央组织部、中央宣传部、中央统战部、中央政法委。</w:t>
      </w:r>
    </w:p>
    <w:p>
      <w:pPr>
        <w:ind w:left="320"/>
        <w:jc w:val="distribute"/>
      </w:pPr>
      <w:r>
        <w:rPr>
          <w:rFonts w:ascii="FZFangSong-Z02" w:hAnsi="FZFangSong-Z02" w:eastAsia="FZFangSong-Z02"/>
          <w:b w:val="0"/>
          <w:sz w:val="28"/>
        </w:rPr>
        <w:t>中共中央办公厅</w:t>
      </w:r>
      <w:r>
        <w:rPr>
          <w:rFonts w:ascii="FZFangSong-Z02" w:hAnsi="FZFangSong-Z02" w:eastAsia="FZFangSong-Z02"/>
          <w:b w:val="0"/>
          <w:sz w:val="28"/>
        </w:rPr>
        <w:t xml:space="preserve">                    2024年12月20日印发</w:t>
      </w:r>
    </w:p>
    <w:p>
      <w:pPr>
        <w:jc w:val="center"/>
        <w:pBdr>
          <w:bottom w:val="single" w:sz="6" w:space="1" w:color="000000"/>
        </w:pBdr>
      </w:pPr>
      <w:r>
        <w:rPr>
          <w:rFonts w:ascii="FZFangSong-Z02" w:hAnsi="FZFangSong-Z02" w:eastAsia="FZFangSong-Z02"/>
          <w:b w:val="0"/>
          <w:sz w:val="32"/>
        </w:rPr>
      </w:r>
    </w:p>
    <w:sectPr w:rsidR="00FC693F" w:rsidRPr="0006063C" w:rsidSect="00034616">
      <w:pgSz w:w="11906" w:h="16838"/>
      <w:pgMar w:top="2098" w:right="1587" w:bottom="2098" w:left="1587" w:header="1587" w:footer="158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