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rPr>
        <w:t>技术交底书</w:t>
      </w:r>
    </w:p>
    <w:p>
      <w:pPr>
        <w:spacing w:after="120" w:line="276" w:lineRule="auto"/>
      </w:pPr>
      <w:r>
        <w:rPr>
          <w:rFonts w:ascii="宋体" w:hAnsi="宋体" w:eastAsia="宋体"/>
          <w:b/>
          <w:sz w:val="21"/>
        </w:rPr>
        <w:t>案件名称</w:t>
      </w:r>
      <w:r>
        <w:rPr>
          <w:rFonts w:ascii="宋体" w:hAnsi="宋体" w:eastAsia="宋体"/>
          <w:sz w:val="21"/>
        </w:rPr>
        <w:t>：一种基于双智能体协同与金丝雀沙箱验证的云原生微服务故障自愈方法及系统</w:t>
      </w:r>
    </w:p>
    <w:p>
      <w:pPr>
        <w:spacing w:after="120" w:line="276" w:lineRule="auto"/>
      </w:pPr>
      <w:r>
        <w:rPr>
          <w:rFonts w:ascii="宋体" w:hAnsi="宋体" w:eastAsia="宋体"/>
          <w:b/>
          <w:sz w:val="21"/>
        </w:rPr>
        <w:t>技术联系人</w:t>
      </w:r>
      <w:r>
        <w:rPr>
          <w:rFonts w:ascii="宋体" w:hAnsi="宋体" w:eastAsia="宋体"/>
          <w:sz w:val="21"/>
        </w:rPr>
        <w:t>：</w:t>
      </w:r>
    </w:p>
    <w:p>
      <w:pPr>
        <w:pStyle w:val="ListBullet"/>
        <w:spacing w:after="60"/>
      </w:pPr>
      <w:r>
        <w:rPr>
          <w:rFonts w:ascii="宋体" w:hAnsi="宋体" w:eastAsia="宋体"/>
          <w:sz w:val="21"/>
        </w:rPr>
        <w:t>姓名：[待填写]</w:t>
      </w:r>
    </w:p>
    <w:p>
      <w:pPr>
        <w:pStyle w:val="ListBullet"/>
        <w:spacing w:after="60"/>
      </w:pPr>
      <w:r>
        <w:rPr>
          <w:rFonts w:ascii="宋体" w:hAnsi="宋体" w:eastAsia="宋体"/>
          <w:sz w:val="21"/>
        </w:rPr>
        <w:t>电话：[待填写]</w:t>
      </w:r>
    </w:p>
    <w:p>
      <w:pPr>
        <w:pStyle w:val="ListBullet"/>
        <w:spacing w:after="60"/>
      </w:pPr>
      <w:r>
        <w:rPr>
          <w:rFonts w:ascii="宋体" w:hAnsi="宋体" w:eastAsia="宋体"/>
          <w:sz w:val="21"/>
        </w:rPr>
        <w:t>邮箱：[待填写]</w:t>
      </w:r>
    </w:p>
    <w:p>
      <w:pPr>
        <w:spacing w:after="120" w:line="276" w:lineRule="auto"/>
      </w:pPr>
      <w:r>
        <w:rPr>
          <w:rFonts w:ascii="宋体" w:hAnsi="宋体" w:eastAsia="宋体"/>
          <w:b/>
          <w:sz w:val="21"/>
        </w:rPr>
        <w:t>专利类型</w:t>
      </w:r>
      <w:r>
        <w:rPr>
          <w:rFonts w:ascii="宋体" w:hAnsi="宋体" w:eastAsia="宋体"/>
          <w:sz w:val="21"/>
        </w:rPr>
        <w:t>：发明</w:t>
      </w:r>
    </w:p>
    <w:p>
      <w:pPr>
        <w:spacing w:after="160" w:before="160"/>
      </w:pPr>
      <w:r>
        <w:rPr>
          <w:rFonts w:ascii="宋体" w:hAnsi="宋体" w:eastAsia="宋体"/>
          <w:color w:val="AAAAAA"/>
          <w:sz w:val="16"/>
        </w:rPr>
        <w:t>────────────────────────────────</w:t>
      </w:r>
    </w:p>
    <w:p>
      <w:pPr>
        <w:pStyle w:val="Heading2"/>
      </w:pPr>
      <w:r>
        <w:rPr>
          <w:rFonts w:ascii="黑体" w:hAnsi="黑体" w:eastAsia="黑体"/>
        </w:rPr>
        <w:t>注意事项</w:t>
      </w:r>
    </w:p>
    <w:p>
      <w:pPr>
        <w:spacing w:after="120" w:line="276" w:lineRule="auto"/>
      </w:pPr>
      <w:r>
        <w:rPr>
          <w:rFonts w:ascii="宋体" w:hAnsi="宋体" w:eastAsia="宋体"/>
          <w:sz w:val="21"/>
        </w:rPr>
        <w:t>（1）交底书应使代理人能看懂，尤其是背景技术和详细技术方案，一定要写得全面、清楚、完整；</w:t>
      </w:r>
    </w:p>
    <w:p>
      <w:pPr>
        <w:spacing w:after="120" w:line="276" w:lineRule="auto"/>
      </w:pPr>
      <w:r>
        <w:rPr>
          <w:rFonts w:ascii="宋体" w:hAnsi="宋体" w:eastAsia="宋体"/>
          <w:sz w:val="21"/>
        </w:rPr>
        <w:t>（2）技术的公开程度，应以本领域普通技术人员不需付出创造性劳动即可进行实施为准；</w:t>
      </w:r>
    </w:p>
    <w:p>
      <w:pPr>
        <w:spacing w:after="120" w:line="276" w:lineRule="auto"/>
      </w:pPr>
      <w:r>
        <w:rPr>
          <w:rFonts w:ascii="宋体" w:hAnsi="宋体" w:eastAsia="宋体"/>
          <w:sz w:val="21"/>
        </w:rPr>
        <w:t>（3）在与代理人沟通时，对于代理人咨询的技术问题，应给予回答并认真讲解，并且按要求及时正确地补充相应技术材料。</w:t>
      </w:r>
    </w:p>
    <w:p>
      <w:pPr>
        <w:spacing w:after="160" w:before="160"/>
      </w:pPr>
      <w:r>
        <w:rPr>
          <w:rFonts w:ascii="宋体" w:hAnsi="宋体" w:eastAsia="宋体"/>
          <w:color w:val="AAAAAA"/>
          <w:sz w:val="16"/>
        </w:rPr>
        <w:t>────────────────────────────────</w:t>
      </w:r>
    </w:p>
    <w:p>
      <w:pPr>
        <w:pStyle w:val="Heading2"/>
      </w:pPr>
      <w:r>
        <w:rPr>
          <w:rFonts w:ascii="黑体" w:hAnsi="黑体" w:eastAsia="黑体"/>
        </w:rPr>
        <w:t>一、介绍相关技术背景，描述与本发明技术最相近的现有技术，并说明该现有技术存在的缺点</w:t>
      </w:r>
    </w:p>
    <w:p>
      <w:pPr>
        <w:spacing w:after="120" w:line="276" w:lineRule="auto"/>
      </w:pPr>
      <w:r>
        <w:rPr>
          <w:rFonts w:ascii="宋体" w:hAnsi="宋体" w:eastAsia="宋体"/>
          <w:sz w:val="21"/>
        </w:rPr>
        <w:t>随着以 Kubernetes 为核心的容器编排技术与服务网格（Service Mesh）的深度普及，现代大规模分布式业务系统普遍全面云原生化。在复杂的超大规模微服务网格中，数百上千个松耦合的微服务节点通过服务注册与发现、RPC 调用及异步消息总线进行深层拓扑协作。由于调用链路错综复杂、依赖层级深且网络波动不可控，生产环境中的局部突发故障（如 Pod 内存泄漏、线程池耗尽、慢查询阻塞、配置漂移引发的级联超时等）极易诱发全局服务降级甚至雪崩，对系统的服务等级目标（SLO）带来巨大威胁。</w:t>
      </w:r>
    </w:p>
    <w:p>
      <w:pPr>
        <w:spacing w:after="120" w:line="276" w:lineRule="auto"/>
      </w:pPr>
      <w:r>
        <w:rPr>
          <w:rFonts w:ascii="宋体" w:hAnsi="宋体" w:eastAsia="宋体"/>
          <w:sz w:val="21"/>
        </w:rPr>
        <w:t>为保障业务高可用，智能运维（AIOps）体系正逐步由“被动监控告警与人工处置”演进为“自动化故障诊断与自愈控制”。近年来，具备长上下文理解与推理能力的大语言模型（LLM）与自主智能体（Autonomous Agent）技术开始被尝试引入运维故障修复领域，试图通过模型自主解析可观测性日志并生成修复指令。然而，大模型天然存在的“幻觉”现象、非确定性输出以及缺乏对生产环境依赖拓扑的严密物理感知，使得直接在生产容器集群上执行大模型生成的修复操作存在极高的次生事故隐患。</w:t>
      </w:r>
    </w:p>
    <w:p>
      <w:pPr>
        <w:pStyle w:val="Heading3"/>
      </w:pPr>
      <w:r>
        <w:rPr>
          <w:rFonts w:ascii="宋体" w:hAnsi="宋体" w:eastAsia="宋体"/>
        </w:rPr>
        <w:t>1.1 现有技术</w:t>
      </w:r>
    </w:p>
    <w:p>
      <w:pPr>
        <w:spacing w:after="120" w:line="276" w:lineRule="auto"/>
      </w:pPr>
      <w:r>
        <w:rPr>
          <w:rFonts w:ascii="宋体" w:hAnsi="宋体" w:eastAsia="宋体"/>
          <w:sz w:val="21"/>
        </w:rPr>
        <w:t>针对本技术主题，在国家知识产权局专利公布公告系统（</w:t>
      </w:r>
      <w:r>
        <w:rPr>
          <w:rFonts w:ascii="Consolas" w:hAnsi="Consolas" w:eastAsia="Consolas"/>
          <w:color w:val="333333"/>
          <w:sz w:val="18"/>
        </w:rPr>
        <w:t>epub.cnipa.gov.cn</w:t>
      </w:r>
      <w:r>
        <w:rPr>
          <w:rFonts w:ascii="宋体" w:hAnsi="宋体" w:eastAsia="宋体"/>
          <w:sz w:val="21"/>
        </w:rPr>
        <w:t>）中进行了全面检索。以「故障自愈」「微服务」「金丝雀」「智能体」等为检索词检索出的相近公开专利技术如下：</w:t>
      </w:r>
    </w:p>
    <w:p>
      <w:pPr>
        <w:pStyle w:val="ListNumber"/>
        <w:spacing w:after="60"/>
        <w:numPr>
          <w:ilvl w:val="0"/>
          <w:numId w:val="10"/>
        </w:numPr>
      </w:pPr>
      <w:r>
        <w:rPr>
          <w:rFonts w:ascii="宋体" w:hAnsi="宋体" w:eastAsia="宋体"/>
          <w:b/>
          <w:sz w:val="21"/>
        </w:rPr>
        <w:t>面向敏捷开发的软件安全检测与自动化部署方法及系统</w:t>
      </w:r>
      <w:r>
        <w:rPr>
          <w:rFonts w:ascii="宋体" w:hAnsi="宋体" w:eastAsia="宋体"/>
          <w:sz w:val="21"/>
        </w:rPr>
        <w:t>（专利申请公布号：</w:t>
      </w:r>
      <w:r>
        <w:rPr>
          <w:rFonts w:ascii="宋体" w:hAnsi="宋体" w:eastAsia="宋体"/>
          <w:color w:val="333333"/>
          <w:sz w:val="21"/>
        </w:rPr>
        <w:t>CN122615854A</w:t>
      </w:r>
      <w:r>
        <w:rPr>
          <w:rFonts w:ascii="宋体" w:hAnsi="宋体" w:eastAsia="宋体"/>
          <w:sz w:val="21"/>
        </w:rPr>
        <w:t>）</w:t>
      </w:r>
    </w:p>
    <w:p>
      <w:pPr>
        <w:pStyle w:val="ListBullet"/>
        <w:spacing w:after="60"/>
      </w:pPr>
      <w:r>
        <w:rPr>
          <w:rFonts w:ascii="宋体" w:hAnsi="宋体" w:eastAsia="宋体"/>
          <w:b/>
          <w:sz w:val="21"/>
        </w:rPr>
        <w:t>申请人</w:t>
      </w:r>
      <w:r>
        <w:rPr>
          <w:rFonts w:ascii="宋体" w:hAnsi="宋体" w:eastAsia="宋体"/>
          <w:sz w:val="21"/>
        </w:rPr>
        <w:t>：北京时代创信科技有限公司</w:t>
      </w:r>
    </w:p>
    <w:p>
      <w:pPr>
        <w:pStyle w:val="ListBullet"/>
        <w:spacing w:after="60"/>
      </w:pPr>
      <w:r>
        <w:rPr>
          <w:rFonts w:ascii="宋体" w:hAnsi="宋体" w:eastAsia="宋体"/>
          <w:b/>
          <w:sz w:val="21"/>
        </w:rPr>
        <w:t>技术方案要点</w:t>
      </w:r>
      <w:r>
        <w:rPr>
          <w:rFonts w:ascii="宋体" w:hAnsi="宋体" w:eastAsia="宋体"/>
          <w:sz w:val="21"/>
        </w:rPr>
        <w:t>：获取生产环境拓扑与代码变更集，构建动态交互图谱；在隔离沙箱中镜像拓扑并注入安全探针构建仿真环境；利用泊松过程与模型驱动混合流量进行蒙特卡洛模拟，计算量化评估连锁风险的动态风险传播系数；据此自动执行阻塞、金丝雀发布或标准部署等分级控制策略。</w:t>
      </w:r>
    </w:p>
    <w:p>
      <w:pPr>
        <w:pStyle w:val="ListBullet"/>
        <w:spacing w:after="60"/>
      </w:pPr>
      <w:r>
        <w:rPr>
          <w:rFonts w:ascii="宋体" w:hAnsi="宋体" w:eastAsia="宋体"/>
          <w:b/>
          <w:sz w:val="21"/>
        </w:rPr>
        <w:t>应用场景</w:t>
      </w:r>
      <w:r>
        <w:rPr>
          <w:rFonts w:ascii="宋体" w:hAnsi="宋体" w:eastAsia="宋体"/>
          <w:sz w:val="21"/>
        </w:rPr>
        <w:t>：软件发布阶段的安全检测与部署风险拦截。</w:t>
      </w:r>
    </w:p>
    <w:p>
      <w:pPr>
        <w:pStyle w:val="ListBullet"/>
        <w:spacing w:after="60"/>
      </w:pPr>
      <w:r>
        <w:rPr>
          <w:rFonts w:ascii="宋体" w:hAnsi="宋体" w:eastAsia="宋体"/>
          <w:b/>
          <w:sz w:val="21"/>
        </w:rPr>
        <w:t>局限性</w:t>
      </w:r>
      <w:r>
        <w:rPr>
          <w:rFonts w:ascii="宋体" w:hAnsi="宋体" w:eastAsia="宋体"/>
          <w:sz w:val="21"/>
        </w:rPr>
        <w:t>：该方案聚焦于静态软件代码变更与版本发布阶段的前置检测，依赖离线泊松流量模拟与蒙特卡洛抽样，计算耗时长，无法应用于生产环境毫秒级至秒级的实时故障应急自愈；且其缺乏大模型自主规划指令的意图校验机制与生产环境下的原子级状态回滚控制。</w:t>
      </w:r>
    </w:p>
    <w:p>
      <w:pPr>
        <w:pStyle w:val="ListBullet"/>
        <w:spacing w:after="60"/>
      </w:pPr>
      <w:r>
        <w:rPr>
          <w:rFonts w:ascii="宋体" w:hAnsi="宋体" w:eastAsia="宋体"/>
          <w:b/>
          <w:sz w:val="21"/>
        </w:rPr>
        <w:t>来源链接</w:t>
      </w:r>
      <w:r>
        <w:rPr>
          <w:rFonts w:ascii="宋体" w:hAnsi="宋体" w:eastAsia="宋体"/>
          <w:sz w:val="21"/>
        </w:rPr>
        <w:t>：http://epub.cnipa.gov.cn/patent/CN122615854A</w:t>
      </w:r>
    </w:p>
    <w:p>
      <w:pPr>
        <w:pStyle w:val="ListNumber"/>
        <w:spacing w:after="60"/>
        <w:numPr>
          <w:ilvl w:val="0"/>
          <w:numId w:val="10"/>
        </w:numPr>
      </w:pPr>
      <w:r>
        <w:rPr>
          <w:rFonts w:ascii="宋体" w:hAnsi="宋体" w:eastAsia="宋体"/>
          <w:b/>
          <w:sz w:val="21"/>
        </w:rPr>
        <w:t>一种API一致性校验修复方法以及装置</w:t>
      </w:r>
      <w:r>
        <w:rPr>
          <w:rFonts w:ascii="宋体" w:hAnsi="宋体" w:eastAsia="宋体"/>
          <w:sz w:val="21"/>
        </w:rPr>
        <w:t>（专利申请公布号：</w:t>
      </w:r>
      <w:r>
        <w:rPr>
          <w:rFonts w:ascii="宋体" w:hAnsi="宋体" w:eastAsia="宋体"/>
          <w:color w:val="333333"/>
          <w:sz w:val="21"/>
        </w:rPr>
        <w:t>CN122733580A</w:t>
      </w:r>
      <w:r>
        <w:rPr>
          <w:rFonts w:ascii="宋体" w:hAnsi="宋体" w:eastAsia="宋体"/>
          <w:sz w:val="21"/>
        </w:rPr>
        <w:t>）</w:t>
      </w:r>
    </w:p>
    <w:p>
      <w:pPr>
        <w:pStyle w:val="ListBullet"/>
        <w:spacing w:after="60"/>
      </w:pPr>
      <w:r>
        <w:rPr>
          <w:rFonts w:ascii="宋体" w:hAnsi="宋体" w:eastAsia="宋体"/>
          <w:b/>
          <w:sz w:val="21"/>
        </w:rPr>
        <w:t>申请人</w:t>
      </w:r>
      <w:r>
        <w:rPr>
          <w:rFonts w:ascii="宋体" w:hAnsi="宋体" w:eastAsia="宋体"/>
          <w:sz w:val="21"/>
        </w:rPr>
        <w:t>：中移雄安信息通信科技有限公司；中移系统集成有限公司等</w:t>
      </w:r>
    </w:p>
    <w:p>
      <w:pPr>
        <w:pStyle w:val="ListBullet"/>
        <w:spacing w:after="60"/>
      </w:pPr>
      <w:r>
        <w:rPr>
          <w:rFonts w:ascii="宋体" w:hAnsi="宋体" w:eastAsia="宋体"/>
          <w:b/>
          <w:sz w:val="21"/>
        </w:rPr>
        <w:t>技术方案要点</w:t>
      </w:r>
      <w:r>
        <w:rPr>
          <w:rFonts w:ascii="宋体" w:hAnsi="宋体" w:eastAsia="宋体"/>
          <w:sz w:val="21"/>
        </w:rPr>
        <w:t>：提取实时响应报文中的关键字段进行加权向量化生成语义向量，与预期语义向量计算余弦相似度；基于接口业务重要性确定动态阈值，当语义偏离触发条件时，从预设修复策略库中匹配目标修复信息，实现 API 语义校验与分级自适应故障自愈。</w:t>
      </w:r>
    </w:p>
    <w:p>
      <w:pPr>
        <w:pStyle w:val="ListBullet"/>
        <w:spacing w:after="60"/>
      </w:pPr>
      <w:r>
        <w:rPr>
          <w:rFonts w:ascii="宋体" w:hAnsi="宋体" w:eastAsia="宋体"/>
          <w:b/>
          <w:sz w:val="21"/>
        </w:rPr>
        <w:t>应用场景</w:t>
      </w:r>
      <w:r>
        <w:rPr>
          <w:rFonts w:ascii="宋体" w:hAnsi="宋体" w:eastAsia="宋体"/>
          <w:sz w:val="21"/>
        </w:rPr>
        <w:t>：微服务 API 接口层语义偏离检测与规则自愈。</w:t>
      </w:r>
    </w:p>
    <w:p>
      <w:pPr>
        <w:pStyle w:val="ListBullet"/>
        <w:spacing w:after="60"/>
      </w:pPr>
      <w:r>
        <w:rPr>
          <w:rFonts w:ascii="宋体" w:hAnsi="宋体" w:eastAsia="宋体"/>
          <w:b/>
          <w:sz w:val="21"/>
        </w:rPr>
        <w:t>局限性</w:t>
      </w:r>
      <w:r>
        <w:rPr>
          <w:rFonts w:ascii="宋体" w:hAnsi="宋体" w:eastAsia="宋体"/>
          <w:sz w:val="21"/>
        </w:rPr>
        <w:t>：该方案仅局限于单 API 报文层面的语义一致性比对与预置静态修复策略库的查找匹配，缺乏对底层容器基础设施（如 Pod 生命周期、Cgroups 资源隔离、网络流量调度）的协同控制能力，无法应对复杂的跨服务链路级联雪崩与未知复合型生产故障。</w:t>
      </w:r>
    </w:p>
    <w:p>
      <w:pPr>
        <w:pStyle w:val="ListBullet"/>
        <w:spacing w:after="60"/>
      </w:pPr>
      <w:r>
        <w:rPr>
          <w:rFonts w:ascii="宋体" w:hAnsi="宋体" w:eastAsia="宋体"/>
          <w:b/>
          <w:sz w:val="21"/>
        </w:rPr>
        <w:t>来源链接</w:t>
      </w:r>
      <w:r>
        <w:rPr>
          <w:rFonts w:ascii="宋体" w:hAnsi="宋体" w:eastAsia="宋体"/>
          <w:sz w:val="21"/>
        </w:rPr>
        <w:t>：http://epub.cnipa.gov.cn/patent/CN122733580A</w:t>
      </w:r>
    </w:p>
    <w:p>
      <w:pPr>
        <w:pStyle w:val="ListNumber"/>
        <w:spacing w:after="60"/>
        <w:numPr>
          <w:ilvl w:val="0"/>
          <w:numId w:val="10"/>
        </w:numPr>
      </w:pPr>
      <w:r>
        <w:rPr>
          <w:rFonts w:ascii="宋体" w:hAnsi="宋体" w:eastAsia="宋体"/>
          <w:b/>
          <w:sz w:val="21"/>
        </w:rPr>
        <w:t>基于多级缓存的微服务实例路由方法、装置、设备及介质</w:t>
      </w:r>
      <w:r>
        <w:rPr>
          <w:rFonts w:ascii="宋体" w:hAnsi="宋体" w:eastAsia="宋体"/>
          <w:sz w:val="21"/>
        </w:rPr>
        <w:t>（专利申请公布号：</w:t>
      </w:r>
      <w:r>
        <w:rPr>
          <w:rFonts w:ascii="宋体" w:hAnsi="宋体" w:eastAsia="宋体"/>
          <w:color w:val="333333"/>
          <w:sz w:val="21"/>
        </w:rPr>
        <w:t>CN122372640A</w:t>
      </w:r>
      <w:r>
        <w:rPr>
          <w:rFonts w:ascii="宋体" w:hAnsi="宋体" w:eastAsia="宋体"/>
          <w:sz w:val="21"/>
        </w:rPr>
        <w:t>）</w:t>
      </w:r>
    </w:p>
    <w:p>
      <w:pPr>
        <w:pStyle w:val="ListBullet"/>
        <w:spacing w:after="60"/>
      </w:pPr>
      <w:r>
        <w:rPr>
          <w:rFonts w:ascii="宋体" w:hAnsi="宋体" w:eastAsia="宋体"/>
          <w:b/>
          <w:sz w:val="21"/>
        </w:rPr>
        <w:t>申请人</w:t>
      </w:r>
      <w:r>
        <w:rPr>
          <w:rFonts w:ascii="宋体" w:hAnsi="宋体" w:eastAsia="宋体"/>
          <w:sz w:val="21"/>
        </w:rPr>
        <w:t>：中国民航信息网络股份有限公司</w:t>
      </w:r>
    </w:p>
    <w:p>
      <w:pPr>
        <w:pStyle w:val="ListBullet"/>
        <w:spacing w:after="60"/>
      </w:pPr>
      <w:r>
        <w:rPr>
          <w:rFonts w:ascii="宋体" w:hAnsi="宋体" w:eastAsia="宋体"/>
          <w:b/>
          <w:sz w:val="21"/>
        </w:rPr>
        <w:t>技术方案要点</w:t>
      </w:r>
      <w:r>
        <w:rPr>
          <w:rFonts w:ascii="宋体" w:hAnsi="宋体" w:eastAsia="宋体"/>
          <w:sz w:val="21"/>
        </w:rPr>
        <w:t>：当处理微服务实例调用请求时，解析请求特征值；在一级缓存中查找版本选择负载均衡器以获取目标服务版本，并在多版本与金丝雀发布场景下实现高效的流量路由调度。</w:t>
      </w:r>
    </w:p>
    <w:p>
      <w:pPr>
        <w:pStyle w:val="ListBullet"/>
        <w:spacing w:after="60"/>
      </w:pPr>
      <w:r>
        <w:rPr>
          <w:rFonts w:ascii="宋体" w:hAnsi="宋体" w:eastAsia="宋体"/>
          <w:b/>
          <w:sz w:val="21"/>
        </w:rPr>
        <w:t>应用场景</w:t>
      </w:r>
      <w:r>
        <w:rPr>
          <w:rFonts w:ascii="宋体" w:hAnsi="宋体" w:eastAsia="宋体"/>
          <w:sz w:val="21"/>
        </w:rPr>
        <w:t>：多版本共存与金丝雀发布的高效路由分流。</w:t>
      </w:r>
    </w:p>
    <w:p>
      <w:pPr>
        <w:pStyle w:val="ListBullet"/>
        <w:spacing w:after="60"/>
      </w:pPr>
      <w:r>
        <w:rPr>
          <w:rFonts w:ascii="宋体" w:hAnsi="宋体" w:eastAsia="宋体"/>
          <w:b/>
          <w:sz w:val="21"/>
        </w:rPr>
        <w:t>局限性</w:t>
      </w:r>
      <w:r>
        <w:rPr>
          <w:rFonts w:ascii="宋体" w:hAnsi="宋体" w:eastAsia="宋体"/>
          <w:sz w:val="21"/>
        </w:rPr>
        <w:t>：该方案仅涉及常规金丝雀发布时的负载均衡分流寻址优化，缺乏对故障状态的闭环感知与诊断能力，无法主动推导自愈操作，更无法在自愈动作引发指标恶化时联动容器底层实施反向回退。</w:t>
      </w:r>
    </w:p>
    <w:p>
      <w:pPr>
        <w:pStyle w:val="ListBullet"/>
        <w:spacing w:after="60"/>
      </w:pPr>
      <w:r>
        <w:rPr>
          <w:rFonts w:ascii="宋体" w:hAnsi="宋体" w:eastAsia="宋体"/>
          <w:b/>
          <w:sz w:val="21"/>
        </w:rPr>
        <w:t>来源链接</w:t>
      </w:r>
      <w:r>
        <w:rPr>
          <w:rFonts w:ascii="宋体" w:hAnsi="宋体" w:eastAsia="宋体"/>
          <w:sz w:val="21"/>
        </w:rPr>
        <w:t>：http://epub.cnipa.gov.cn/patent/CN122372640A</w:t>
      </w:r>
    </w:p>
    <w:p>
      <w:pPr>
        <w:pStyle w:val="ListNumber"/>
        <w:spacing w:after="60"/>
        <w:numPr>
          <w:ilvl w:val="0"/>
          <w:numId w:val="10"/>
        </w:numPr>
      </w:pPr>
      <w:r>
        <w:rPr>
          <w:rFonts w:ascii="宋体" w:hAnsi="宋体" w:eastAsia="宋体"/>
          <w:b/>
          <w:sz w:val="21"/>
        </w:rPr>
        <w:t>遥测数据处理方法、装置、设备、介质和程序产品</w:t>
      </w:r>
      <w:r>
        <w:rPr>
          <w:rFonts w:ascii="宋体" w:hAnsi="宋体" w:eastAsia="宋体"/>
          <w:sz w:val="21"/>
        </w:rPr>
        <w:t>（专利申请公布号：</w:t>
      </w:r>
      <w:r>
        <w:rPr>
          <w:rFonts w:ascii="宋体" w:hAnsi="宋体" w:eastAsia="宋体"/>
          <w:color w:val="333333"/>
          <w:sz w:val="21"/>
        </w:rPr>
        <w:t>CN122741587A</w:t>
      </w:r>
      <w:r>
        <w:rPr>
          <w:rFonts w:ascii="宋体" w:hAnsi="宋体" w:eastAsia="宋体"/>
          <w:sz w:val="21"/>
        </w:rPr>
        <w:t>）</w:t>
      </w:r>
    </w:p>
    <w:p>
      <w:pPr>
        <w:pStyle w:val="ListBullet"/>
        <w:spacing w:after="60"/>
      </w:pPr>
      <w:r>
        <w:rPr>
          <w:rFonts w:ascii="宋体" w:hAnsi="宋体" w:eastAsia="宋体"/>
          <w:b/>
          <w:sz w:val="21"/>
        </w:rPr>
        <w:t>申请人</w:t>
      </w:r>
      <w:r>
        <w:rPr>
          <w:rFonts w:ascii="宋体" w:hAnsi="宋体" w:eastAsia="宋体"/>
          <w:sz w:val="21"/>
        </w:rPr>
        <w:t>：腾讯科技（北京）有限公司</w:t>
      </w:r>
    </w:p>
    <w:p>
      <w:pPr>
        <w:pStyle w:val="ListBullet"/>
        <w:spacing w:after="60"/>
      </w:pPr>
      <w:r>
        <w:rPr>
          <w:rFonts w:ascii="宋体" w:hAnsi="宋体" w:eastAsia="宋体"/>
          <w:b/>
          <w:sz w:val="21"/>
        </w:rPr>
        <w:t>技术方案要点</w:t>
      </w:r>
      <w:r>
        <w:rPr>
          <w:rFonts w:ascii="宋体" w:hAnsi="宋体" w:eastAsia="宋体"/>
          <w:sz w:val="21"/>
        </w:rPr>
        <w:t>：在微服务与观测平台之间开启数据管道中间件服务，统一接收各微服务节点上传的性能遥测数据并存储，通过结构化查询语句为观测平台提供关于目标微服务的统一性能观测结果。</w:t>
      </w:r>
    </w:p>
    <w:p>
      <w:pPr>
        <w:pStyle w:val="ListBullet"/>
        <w:spacing w:after="60"/>
      </w:pPr>
      <w:r>
        <w:rPr>
          <w:rFonts w:ascii="宋体" w:hAnsi="宋体" w:eastAsia="宋体"/>
          <w:b/>
          <w:sz w:val="21"/>
        </w:rPr>
        <w:t>应用场景</w:t>
      </w:r>
      <w:r>
        <w:rPr>
          <w:rFonts w:ascii="宋体" w:hAnsi="宋体" w:eastAsia="宋体"/>
          <w:sz w:val="21"/>
        </w:rPr>
        <w:t>：大规模分布式微服务的集中式可观测性遥测数据汇聚。</w:t>
      </w:r>
    </w:p>
    <w:p>
      <w:pPr>
        <w:pStyle w:val="ListBullet"/>
        <w:spacing w:after="60"/>
      </w:pPr>
      <w:r>
        <w:rPr>
          <w:rFonts w:ascii="宋体" w:hAnsi="宋体" w:eastAsia="宋体"/>
          <w:b/>
          <w:sz w:val="21"/>
        </w:rPr>
        <w:t>局限性</w:t>
      </w:r>
      <w:r>
        <w:rPr>
          <w:rFonts w:ascii="宋体" w:hAnsi="宋体" w:eastAsia="宋体"/>
          <w:sz w:val="21"/>
        </w:rPr>
        <w:t>：该方案仅实现了被动的数据采集、中转管道与查询呈现，属于纯可观测性基础设施，不具备故障成因的认知推演能力，亦无自愈决策生成与安全执行链路。</w:t>
      </w:r>
    </w:p>
    <w:p>
      <w:pPr>
        <w:pStyle w:val="ListBullet"/>
        <w:spacing w:after="60"/>
      </w:pPr>
      <w:r>
        <w:rPr>
          <w:rFonts w:ascii="宋体" w:hAnsi="宋体" w:eastAsia="宋体"/>
          <w:b/>
          <w:sz w:val="21"/>
        </w:rPr>
        <w:t>来源链接</w:t>
      </w:r>
      <w:r>
        <w:rPr>
          <w:rFonts w:ascii="宋体" w:hAnsi="宋体" w:eastAsia="宋体"/>
          <w:sz w:val="21"/>
        </w:rPr>
        <w:t>：http://epub.cnipa.gov.cn/patent/CN122741587A</w:t>
      </w:r>
    </w:p>
    <w:p>
      <w:pPr>
        <w:pStyle w:val="ListNumber"/>
        <w:spacing w:after="60"/>
        <w:numPr>
          <w:ilvl w:val="0"/>
          <w:numId w:val="10"/>
        </w:numPr>
      </w:pPr>
      <w:r>
        <w:rPr>
          <w:rFonts w:ascii="宋体" w:hAnsi="宋体" w:eastAsia="宋体"/>
          <w:b/>
          <w:sz w:val="21"/>
        </w:rPr>
        <w:t>任务处理方法、智能体、服务网元及存储介质</w:t>
      </w:r>
      <w:r>
        <w:rPr>
          <w:rFonts w:ascii="宋体" w:hAnsi="宋体" w:eastAsia="宋体"/>
          <w:sz w:val="21"/>
        </w:rPr>
        <w:t>（专利申请公布号：</w:t>
      </w:r>
      <w:r>
        <w:rPr>
          <w:rFonts w:ascii="宋体" w:hAnsi="宋体" w:eastAsia="宋体"/>
          <w:color w:val="333333"/>
          <w:sz w:val="21"/>
        </w:rPr>
        <w:t>CN122741515A</w:t>
      </w:r>
      <w:r>
        <w:rPr>
          <w:rFonts w:ascii="宋体" w:hAnsi="宋体" w:eastAsia="宋体"/>
          <w:sz w:val="21"/>
        </w:rPr>
        <w:t>）</w:t>
      </w:r>
    </w:p>
    <w:p>
      <w:pPr>
        <w:pStyle w:val="ListBullet"/>
        <w:spacing w:after="60"/>
      </w:pPr>
      <w:r>
        <w:rPr>
          <w:rFonts w:ascii="宋体" w:hAnsi="宋体" w:eastAsia="宋体"/>
          <w:b/>
          <w:sz w:val="21"/>
        </w:rPr>
        <w:t>申请人</w:t>
      </w:r>
      <w:r>
        <w:rPr>
          <w:rFonts w:ascii="宋体" w:hAnsi="宋体" w:eastAsia="宋体"/>
          <w:sz w:val="21"/>
        </w:rPr>
        <w:t>：中兴通讯股份有限公司</w:t>
      </w:r>
    </w:p>
    <w:p>
      <w:pPr>
        <w:pStyle w:val="ListBullet"/>
        <w:spacing w:after="60"/>
      </w:pPr>
      <w:r>
        <w:rPr>
          <w:rFonts w:ascii="宋体" w:hAnsi="宋体" w:eastAsia="宋体"/>
          <w:b/>
          <w:sz w:val="21"/>
        </w:rPr>
        <w:t>技术方案要点</w:t>
      </w:r>
      <w:r>
        <w:rPr>
          <w:rFonts w:ascii="宋体" w:hAnsi="宋体" w:eastAsia="宋体"/>
          <w:sz w:val="21"/>
        </w:rPr>
        <w:t>：响应来自请求方的提示信息，基于提示信息识别用户意图并将原始任务拆解为至少两个目标任务，分别向至少两个服务网元发送处理请求。</w:t>
      </w:r>
    </w:p>
    <w:p>
      <w:pPr>
        <w:pStyle w:val="ListBullet"/>
        <w:spacing w:after="60"/>
      </w:pPr>
      <w:r>
        <w:rPr>
          <w:rFonts w:ascii="宋体" w:hAnsi="宋体" w:eastAsia="宋体"/>
          <w:b/>
          <w:sz w:val="21"/>
        </w:rPr>
        <w:t>应用场景</w:t>
      </w:r>
      <w:r>
        <w:rPr>
          <w:rFonts w:ascii="宋体" w:hAnsi="宋体" w:eastAsia="宋体"/>
          <w:sz w:val="21"/>
        </w:rPr>
        <w:t>：通信网络环境下的智能体任务拆解与分发。</w:t>
      </w:r>
    </w:p>
    <w:p>
      <w:pPr>
        <w:pStyle w:val="ListBullet"/>
        <w:spacing w:after="60"/>
      </w:pPr>
      <w:r>
        <w:rPr>
          <w:rFonts w:ascii="宋体" w:hAnsi="宋体" w:eastAsia="宋体"/>
          <w:b/>
          <w:sz w:val="21"/>
        </w:rPr>
        <w:t>局限性</w:t>
      </w:r>
      <w:r>
        <w:rPr>
          <w:rFonts w:ascii="宋体" w:hAnsi="宋体" w:eastAsia="宋体"/>
          <w:sz w:val="21"/>
        </w:rPr>
        <w:t>：属于通用的大模型任务分解与调度，缺乏针对生产环境运维特有的安全性约束机制，无法评估多步操作对依赖拓扑的破坏性，缺乏沙箱仿真验证与试错保护机制。</w:t>
      </w:r>
    </w:p>
    <w:p>
      <w:pPr>
        <w:pStyle w:val="ListBullet"/>
        <w:spacing w:after="60"/>
      </w:pPr>
      <w:r>
        <w:rPr>
          <w:rFonts w:ascii="宋体" w:hAnsi="宋体" w:eastAsia="宋体"/>
          <w:b/>
          <w:sz w:val="21"/>
        </w:rPr>
        <w:t>来源链接</w:t>
      </w:r>
      <w:r>
        <w:rPr>
          <w:rFonts w:ascii="宋体" w:hAnsi="宋体" w:eastAsia="宋体"/>
          <w:sz w:val="21"/>
        </w:rPr>
        <w:t>：http://epub.cnipa.gov.cn/patent/CN122741515A</w:t>
      </w:r>
    </w:p>
    <w:p>
      <w:pPr>
        <w:pStyle w:val="ListNumber"/>
        <w:spacing w:after="60"/>
        <w:numPr>
          <w:ilvl w:val="0"/>
          <w:numId w:val="10"/>
        </w:numPr>
      </w:pPr>
      <w:r>
        <w:rPr>
          <w:rFonts w:ascii="宋体" w:hAnsi="宋体" w:eastAsia="宋体"/>
          <w:b/>
          <w:sz w:val="21"/>
        </w:rPr>
        <w:t>自动化微服务测试云平台系统</w:t>
      </w:r>
      <w:r>
        <w:rPr>
          <w:rFonts w:ascii="宋体" w:hAnsi="宋体" w:eastAsia="宋体"/>
          <w:sz w:val="21"/>
        </w:rPr>
        <w:t>（专利申请公布号：</w:t>
      </w:r>
      <w:r>
        <w:rPr>
          <w:rFonts w:ascii="宋体" w:hAnsi="宋体" w:eastAsia="宋体"/>
          <w:color w:val="333333"/>
          <w:sz w:val="21"/>
        </w:rPr>
        <w:t>CN122733693A</w:t>
      </w:r>
      <w:r>
        <w:rPr>
          <w:rFonts w:ascii="宋体" w:hAnsi="宋体" w:eastAsia="宋体"/>
          <w:sz w:val="21"/>
        </w:rPr>
        <w:t>）</w:t>
      </w:r>
    </w:p>
    <w:p>
      <w:pPr>
        <w:pStyle w:val="ListBullet"/>
        <w:spacing w:after="60"/>
      </w:pPr>
      <w:r>
        <w:rPr>
          <w:rFonts w:ascii="宋体" w:hAnsi="宋体" w:eastAsia="宋体"/>
          <w:b/>
          <w:sz w:val="21"/>
        </w:rPr>
        <w:t>申请人</w:t>
      </w:r>
      <w:r>
        <w:rPr>
          <w:rFonts w:ascii="宋体" w:hAnsi="宋体" w:eastAsia="宋体"/>
          <w:sz w:val="21"/>
        </w:rPr>
        <w:t>：国网辽宁省电力有限公司信息通信分公司</w:t>
      </w:r>
    </w:p>
    <w:p>
      <w:pPr>
        <w:pStyle w:val="ListBullet"/>
        <w:spacing w:after="60"/>
      </w:pPr>
      <w:r>
        <w:rPr>
          <w:rFonts w:ascii="宋体" w:hAnsi="宋体" w:eastAsia="宋体"/>
          <w:b/>
          <w:sz w:val="21"/>
        </w:rPr>
        <w:t>技术方案要点</w:t>
      </w:r>
      <w:r>
        <w:rPr>
          <w:rFonts w:ascii="宋体" w:hAnsi="宋体" w:eastAsia="宋体"/>
          <w:sz w:val="21"/>
        </w:rPr>
        <w:t>：通过服务依赖解析模块解析微服务依赖关系生成编排文件，并在容器化云基础设施上动态创建包含微服务实例及中间件的隔离测试环境，调度执行自动化测试并采集性能指标与调用链生成测试报告。</w:t>
      </w:r>
    </w:p>
    <w:p>
      <w:pPr>
        <w:pStyle w:val="ListBullet"/>
        <w:spacing w:after="60"/>
      </w:pPr>
      <w:r>
        <w:rPr>
          <w:rFonts w:ascii="宋体" w:hAnsi="宋体" w:eastAsia="宋体"/>
          <w:b/>
          <w:sz w:val="21"/>
        </w:rPr>
        <w:t>应用场景</w:t>
      </w:r>
      <w:r>
        <w:rPr>
          <w:rFonts w:ascii="宋体" w:hAnsi="宋体" w:eastAsia="宋体"/>
          <w:sz w:val="21"/>
        </w:rPr>
        <w:t>：离线敏捷开发测试云平台构建。</w:t>
      </w:r>
    </w:p>
    <w:p>
      <w:pPr>
        <w:pStyle w:val="ListBullet"/>
        <w:spacing w:after="60"/>
      </w:pPr>
      <w:r>
        <w:rPr>
          <w:rFonts w:ascii="宋体" w:hAnsi="宋体" w:eastAsia="宋体"/>
          <w:b/>
          <w:sz w:val="21"/>
        </w:rPr>
        <w:t>局限性</w:t>
      </w:r>
      <w:r>
        <w:rPr>
          <w:rFonts w:ascii="宋体" w:hAnsi="宋体" w:eastAsia="宋体"/>
          <w:sz w:val="21"/>
        </w:rPr>
        <w:t>：其容器测试环境为全量微服务及中间件的完整镜像离线拉起，资源开销极大、启动耗时长达数分钟至数十分钟，无法满足在线生产故障应急排障时轻量级、秒级响应的金丝雀沙箱快速验证需求。</w:t>
      </w:r>
    </w:p>
    <w:p>
      <w:pPr>
        <w:pStyle w:val="ListBullet"/>
        <w:spacing w:after="60"/>
      </w:pPr>
      <w:r>
        <w:rPr>
          <w:rFonts w:ascii="宋体" w:hAnsi="宋体" w:eastAsia="宋体"/>
          <w:b/>
          <w:sz w:val="21"/>
        </w:rPr>
        <w:t>来源链接</w:t>
      </w:r>
      <w:r>
        <w:rPr>
          <w:rFonts w:ascii="宋体" w:hAnsi="宋体" w:eastAsia="宋体"/>
          <w:sz w:val="21"/>
        </w:rPr>
        <w:t>：http://epub.cnipa.gov.cn/patent/CN122733693A</w:t>
      </w:r>
    </w:p>
    <w:p>
      <w:pPr>
        <w:pStyle w:val="Heading3"/>
      </w:pPr>
      <w:r>
        <w:rPr>
          <w:rFonts w:ascii="宋体" w:hAnsi="宋体" w:eastAsia="宋体"/>
        </w:rPr>
        <w:t>1.2 现有技术存在的缺点</w:t>
      </w:r>
    </w:p>
    <w:p>
      <w:pPr>
        <w:spacing w:after="120" w:line="276" w:lineRule="auto"/>
      </w:pPr>
      <w:r>
        <w:rPr>
          <w:rFonts w:ascii="宋体" w:hAnsi="宋体" w:eastAsia="宋体"/>
          <w:sz w:val="21"/>
        </w:rPr>
        <w:t>综合上述现有技术分析，当前云原生环境下的微服务故障处理与自愈技术普遍存在以下核心缺陷：</w:t>
      </w:r>
    </w:p>
    <w:p>
      <w:pPr>
        <w:pStyle w:val="ListNumber"/>
        <w:spacing w:after="60"/>
        <w:numPr>
          <w:ilvl w:val="0"/>
          <w:numId w:val="11"/>
        </w:numPr>
      </w:pPr>
      <w:r>
        <w:rPr>
          <w:rFonts w:ascii="宋体" w:hAnsi="宋体" w:eastAsia="宋体"/>
          <w:b/>
          <w:sz w:val="21"/>
        </w:rPr>
        <w:t>大模型自愈决策的“模型幻觉”与缺乏安全边界约束（Hallucination &amp; Blast Radius Blindness）</w:t>
      </w:r>
      <w:r>
        <w:rPr>
          <w:rFonts w:ascii="宋体" w:hAnsi="宋体" w:eastAsia="宋体"/>
          <w:sz w:val="21"/>
        </w:rPr>
        <w:t>：</w:t>
      </w:r>
    </w:p>
    <w:p>
      <w:pPr>
        <w:spacing w:after="120" w:line="276" w:lineRule="auto"/>
      </w:pPr>
      <w:r>
        <w:rPr>
          <w:rFonts w:ascii="宋体" w:hAnsi="宋体" w:eastAsia="宋体"/>
          <w:sz w:val="21"/>
        </w:rPr>
        <w:t>常规智能体或大语言模型在生成运维修复动作时，易产生脱离底层实际状态的不可控指令（如错误删除 PersistentVolumeClaim 存储卷、盲目全量重启核心主从数据库 Pod 等）。现有技术缺乏针对微服务拓扑深度的爆炸半径（Blast Radius）量化评估模型，无法在指令下发前实施形式化语义阻断与对抗重审，极易引发不可逆的次生故障灾难。</w:t>
      </w:r>
    </w:p>
    <w:p>
      <w:pPr>
        <w:pStyle w:val="ListNumber"/>
        <w:spacing w:after="60"/>
        <w:numPr>
          <w:ilvl w:val="0"/>
          <w:numId w:val="11"/>
        </w:numPr>
      </w:pPr>
      <w:r>
        <w:rPr>
          <w:rFonts w:ascii="宋体" w:hAnsi="宋体" w:eastAsia="宋体"/>
          <w:b/>
          <w:sz w:val="21"/>
        </w:rPr>
        <w:t>离线沙箱开销巨大与线上实时自愈的矛盾（Heavyweight Sandbox Dilemma）</w:t>
      </w:r>
      <w:r>
        <w:rPr>
          <w:rFonts w:ascii="宋体" w:hAnsi="宋体" w:eastAsia="宋体"/>
          <w:sz w:val="21"/>
        </w:rPr>
        <w:t>：</w:t>
      </w:r>
    </w:p>
    <w:p>
      <w:pPr>
        <w:spacing w:after="120" w:line="276" w:lineRule="auto"/>
      </w:pPr>
      <w:r>
        <w:rPr>
          <w:rFonts w:ascii="宋体" w:hAnsi="宋体" w:eastAsia="宋体"/>
          <w:sz w:val="21"/>
        </w:rPr>
        <w:t>现有容器沙箱方案多用于离线软件测试与预发布验证，往往需要完整克隆整套微服务依赖拓扑与数据库集群，资源占用沉重且冷启动耗时数分钟以上；而在生产故障突发的黄金止损期（1~5分钟）内，亟需一种轻量级、容器级隔离且能精确引导真实微量探针流量的动态金丝雀验证机制。</w:t>
      </w:r>
    </w:p>
    <w:p>
      <w:pPr>
        <w:pStyle w:val="ListNumber"/>
        <w:spacing w:after="60"/>
        <w:numPr>
          <w:ilvl w:val="0"/>
          <w:numId w:val="11"/>
        </w:numPr>
      </w:pPr>
      <w:r>
        <w:rPr>
          <w:rFonts w:ascii="宋体" w:hAnsi="宋体" w:eastAsia="宋体"/>
          <w:b/>
          <w:sz w:val="21"/>
        </w:rPr>
        <w:t>缺乏基于实时 SLO 闭环感知的自适应渐进放行（Non-Adaptive Rollout Vulnerability）</w:t>
      </w:r>
      <w:r>
        <w:rPr>
          <w:rFonts w:ascii="宋体" w:hAnsi="宋体" w:eastAsia="宋体"/>
          <w:sz w:val="21"/>
        </w:rPr>
        <w:t>：</w:t>
      </w:r>
    </w:p>
    <w:p>
      <w:pPr>
        <w:spacing w:after="120" w:line="276" w:lineRule="auto"/>
      </w:pPr>
      <w:r>
        <w:rPr>
          <w:rFonts w:ascii="宋体" w:hAnsi="宋体" w:eastAsia="宋体"/>
          <w:sz w:val="21"/>
        </w:rPr>
        <w:t>传统的金丝雀发布或流量切分主要依赖人工预设的固定比例（如静态配置 10% 流量），缺乏在自愈动作执行过程中结合端到端时延、错误率及下游反压指标进行多周期平滑评估与步长动态调整的控制算法，容易导致尚未完全治愈的故障实例过早承接全量流量而发生二次雪崩。</w:t>
      </w:r>
    </w:p>
    <w:p>
      <w:pPr>
        <w:pStyle w:val="ListNumber"/>
        <w:spacing w:after="60"/>
        <w:numPr>
          <w:ilvl w:val="0"/>
          <w:numId w:val="11"/>
        </w:numPr>
      </w:pPr>
      <w:r>
        <w:rPr>
          <w:rFonts w:ascii="宋体" w:hAnsi="宋体" w:eastAsia="宋体"/>
          <w:b/>
          <w:sz w:val="21"/>
        </w:rPr>
        <w:t>缺乏事务性反向补偿与秒级原子回滚机制（Absence of Atomic Rollback Guarantee）</w:t>
      </w:r>
      <w:r>
        <w:rPr>
          <w:rFonts w:ascii="宋体" w:hAnsi="宋体" w:eastAsia="宋体"/>
          <w:sz w:val="21"/>
        </w:rPr>
        <w:t>：</w:t>
      </w:r>
    </w:p>
    <w:p>
      <w:pPr>
        <w:spacing w:after="120" w:line="276" w:lineRule="auto"/>
      </w:pPr>
      <w:r>
        <w:rPr>
          <w:rFonts w:ascii="宋体" w:hAnsi="宋体" w:eastAsia="宋体"/>
          <w:sz w:val="21"/>
        </w:rPr>
        <w:t>现有的自愈工具多为单向指令下发（如执行一段 Shell 脚本或 Kubectl 指令），在金丝雀验证失败或线上指标急剧恶化时，缺乏前置的状态快照捕获以及逆向补偿动作链（Compensating Actions）的自动推演，导致系统状态残缺、无法快速恢复至故障前基准线。</w:t>
      </w:r>
    </w:p>
    <w:p>
      <w:pPr>
        <w:spacing w:after="160" w:before="160"/>
      </w:pPr>
      <w:r>
        <w:rPr>
          <w:rFonts w:ascii="宋体" w:hAnsi="宋体" w:eastAsia="宋体"/>
          <w:color w:val="AAAAAA"/>
          <w:sz w:val="16"/>
        </w:rPr>
        <w:t>────────────────────────────────</w:t>
      </w:r>
    </w:p>
    <w:p>
      <w:pPr>
        <w:pStyle w:val="Heading2"/>
      </w:pPr>
      <w:r>
        <w:rPr>
          <w:rFonts w:ascii="黑体" w:hAnsi="黑体" w:eastAsia="黑体"/>
        </w:rPr>
        <w:t>二、针对上述缺点，说明本发明所要解决的技术问题</w:t>
      </w:r>
    </w:p>
    <w:p>
      <w:pPr>
        <w:spacing w:after="120" w:line="276" w:lineRule="auto"/>
      </w:pPr>
      <w:r>
        <w:rPr>
          <w:rFonts w:ascii="宋体" w:hAnsi="宋体" w:eastAsia="宋体"/>
          <w:sz w:val="21"/>
        </w:rPr>
        <w:t>本发明所要解决的技术问题是：克服现有微服务故障自愈技术中大模型推理缺乏拓扑安全约束易发次生雪崩、沙箱验证过重响应迟缓、金丝雀放行缺乏动态自适应性以及执行失败无法原子回滚的技术缺陷，提供一种</w:t>
      </w:r>
      <w:r>
        <w:rPr>
          <w:rFonts w:ascii="宋体" w:hAnsi="宋体" w:eastAsia="宋体"/>
          <w:b/>
          <w:sz w:val="21"/>
        </w:rPr>
        <w:t>基于双智能体协同与金丝雀沙箱验证的云原生微服务故障自愈方法及系统</w:t>
      </w:r>
      <w:r>
        <w:rPr>
          <w:rFonts w:ascii="宋体" w:hAnsi="宋体" w:eastAsia="宋体"/>
          <w:sz w:val="21"/>
        </w:rPr>
        <w:t>。</w:t>
      </w:r>
    </w:p>
    <w:p>
      <w:pPr>
        <w:spacing w:after="120" w:line="276" w:lineRule="auto"/>
      </w:pPr>
      <w:r>
        <w:rPr>
          <w:rFonts w:ascii="宋体" w:hAnsi="宋体" w:eastAsia="宋体"/>
          <w:sz w:val="21"/>
        </w:rPr>
        <w:t>该方案通过以下核心手段协同解决上述技术问题：</w:t>
      </w:r>
    </w:p>
    <w:p>
      <w:pPr>
        <w:pStyle w:val="ListNumber"/>
        <w:spacing w:after="60"/>
        <w:numPr>
          <w:ilvl w:val="0"/>
          <w:numId w:val="12"/>
        </w:numPr>
      </w:pPr>
      <w:r>
        <w:rPr>
          <w:rFonts w:ascii="宋体" w:hAnsi="宋体" w:eastAsia="宋体"/>
          <w:b/>
          <w:sz w:val="21"/>
        </w:rPr>
        <w:t>构建基于多模态可观测性上下文融合的故障感知机制</w:t>
      </w:r>
      <w:r>
        <w:rPr>
          <w:rFonts w:ascii="宋体" w:hAnsi="宋体" w:eastAsia="宋体"/>
          <w:sz w:val="21"/>
        </w:rPr>
        <w:t>，在微服务故障爆发时毫秒级对齐时序指标、分布式链路 Trace 有向图与容器事件日志，精准生成结构化故障诊断快照；</w:t>
      </w:r>
    </w:p>
    <w:p>
      <w:pPr>
        <w:pStyle w:val="ListNumber"/>
        <w:spacing w:after="60"/>
        <w:numPr>
          <w:ilvl w:val="0"/>
          <w:numId w:val="12"/>
        </w:numPr>
      </w:pPr>
      <w:r>
        <w:rPr>
          <w:rFonts w:ascii="宋体" w:hAnsi="宋体" w:eastAsia="宋体"/>
          <w:b/>
          <w:sz w:val="21"/>
        </w:rPr>
        <w:t>构建规划与审核双智能体（Dual-Agent）对抗博弈机制</w:t>
      </w:r>
      <w:r>
        <w:rPr>
          <w:rFonts w:ascii="宋体" w:hAnsi="宋体" w:eastAsia="宋体"/>
          <w:sz w:val="21"/>
        </w:rPr>
        <w:t>，由自愈规划智能体生成由原子化修复动作构成的有向无环图（DAG），并由安全风控智能体基于全链路拓扑阻抗与资源敏感度量化评估操作动作的综合爆炸半径风险评分，实施形式化规则拦截与反思重规划，杜绝模型幻觉导致的恶性操作；</w:t>
      </w:r>
    </w:p>
    <w:p>
      <w:pPr>
        <w:pStyle w:val="ListNumber"/>
        <w:spacing w:after="60"/>
        <w:numPr>
          <w:ilvl w:val="0"/>
          <w:numId w:val="12"/>
        </w:numPr>
      </w:pPr>
      <w:r>
        <w:rPr>
          <w:rFonts w:ascii="宋体" w:hAnsi="宋体" w:eastAsia="宋体"/>
          <w:b/>
          <w:sz w:val="21"/>
        </w:rPr>
        <w:t>建立基于 Kubernetes 动态隔离副本与 Service Mesh 流量编排的金丝雀沙箱验证通道</w:t>
      </w:r>
      <w:r>
        <w:rPr>
          <w:rFonts w:ascii="宋体" w:hAnsi="宋体" w:eastAsia="宋体"/>
          <w:sz w:val="21"/>
        </w:rPr>
        <w:t>，秒级拉起轻量级沙箱 Pod 并精确引导 1%~5% 的真实业务探针流量或影子流量执行前置试运行，以极小试错成本验证修复有效性；</w:t>
      </w:r>
    </w:p>
    <w:p>
      <w:pPr>
        <w:pStyle w:val="ListNumber"/>
        <w:spacing w:after="60"/>
        <w:numPr>
          <w:ilvl w:val="0"/>
          <w:numId w:val="12"/>
        </w:numPr>
      </w:pPr>
      <w:r>
        <w:rPr>
          <w:rFonts w:ascii="宋体" w:hAnsi="宋体" w:eastAsia="宋体"/>
          <w:b/>
          <w:sz w:val="21"/>
        </w:rPr>
        <w:t>提出基于滑动平滑健康度反馈的自适应渐进放行与秒级原子回滚控制算法</w:t>
      </w:r>
      <w:r>
        <w:rPr>
          <w:rFonts w:ascii="宋体" w:hAnsi="宋体" w:eastAsia="宋体"/>
          <w:sz w:val="21"/>
        </w:rPr>
        <w:t>，结合端到端延迟与错误率动态调谐流量扩增步长，并在指标异常时瞬时触发反向补偿事务链与流量熔断，实现安全无损的故障全闭环自愈。</w:t>
      </w:r>
    </w:p>
    <w:p>
      <w:pPr>
        <w:spacing w:after="160" w:before="160"/>
      </w:pPr>
      <w:r>
        <w:rPr>
          <w:rFonts w:ascii="宋体" w:hAnsi="宋体" w:eastAsia="宋体"/>
          <w:color w:val="AAAAAA"/>
          <w:sz w:val="16"/>
        </w:rPr>
        <w:t>────────────────────────────────</w:t>
      </w:r>
    </w:p>
    <w:p>
      <w:pPr>
        <w:pStyle w:val="Heading2"/>
      </w:pPr>
      <w:r>
        <w:rPr>
          <w:rFonts w:ascii="黑体" w:hAnsi="黑体" w:eastAsia="黑体"/>
        </w:rPr>
        <w:t>三、本发明技术方案的详细阐述</w:t>
      </w:r>
    </w:p>
    <w:p>
      <w:pPr>
        <w:pStyle w:val="Heading3"/>
      </w:pPr>
      <w:r>
        <w:rPr>
          <w:rFonts w:ascii="宋体" w:hAnsi="宋体" w:eastAsia="宋体"/>
        </w:rPr>
        <w:t>3.1 背景</w:t>
      </w:r>
    </w:p>
    <w:p>
      <w:pPr>
        <w:spacing w:after="120" w:line="276" w:lineRule="auto"/>
      </w:pPr>
      <w:r>
        <w:rPr>
          <w:rFonts w:ascii="宋体" w:hAnsi="宋体" w:eastAsia="宋体"/>
          <w:sz w:val="21"/>
        </w:rPr>
        <w:t>本发明应用于大规模云原生、容器化编排（Kubernetes）与服务网格（Service Mesh，如 Istio/Envoy）环境下的分布式微服务自动化高可用保障与故障自愈场景。</w:t>
      </w:r>
    </w:p>
    <w:p>
      <w:pPr>
        <w:spacing w:after="120" w:line="276" w:lineRule="auto"/>
      </w:pPr>
      <w:r>
        <w:rPr>
          <w:rFonts w:ascii="宋体" w:hAnsi="宋体" w:eastAsia="宋体"/>
          <w:b/>
          <w:sz w:val="21"/>
        </w:rPr>
        <w:t>场景与参与者</w:t>
      </w:r>
      <w:r>
        <w:rPr>
          <w:rFonts w:ascii="宋体" w:hAnsi="宋体" w:eastAsia="宋体"/>
          <w:sz w:val="21"/>
        </w:rPr>
        <w:t>：</w:t>
      </w:r>
    </w:p>
    <w:p>
      <w:pPr>
        <w:spacing w:after="120" w:line="276" w:lineRule="auto"/>
      </w:pPr>
      <w:r>
        <w:rPr>
          <w:rFonts w:ascii="宋体" w:hAnsi="宋体" w:eastAsia="宋体"/>
          <w:sz w:val="21"/>
        </w:rPr>
        <w:t>系统运行环境中包含集群物理节点、Kubernetes 控制平面（API Server、etcd、调度器）、服务网格数据平面（Envoy 边车代理 Sidecar Proxy）、以及由众多微服务 Pod 实例构成的复杂业务拓扑网络。系统部署有统一可观测性平台，各 Pod 内置轻量级遥测探针，负责采集时序性能指标（Metrics）、跨服务调用链路跟踪（Trace）以及结构化容器日志（Logs）。</w:t>
      </w:r>
    </w:p>
    <w:p>
      <w:pPr>
        <w:spacing w:after="120" w:line="276" w:lineRule="auto"/>
      </w:pPr>
      <w:r>
        <w:rPr>
          <w:rFonts w:ascii="宋体" w:hAnsi="宋体" w:eastAsia="宋体"/>
          <w:b/>
          <w:sz w:val="21"/>
        </w:rPr>
        <w:t>标题对象如何进入系统并协同工作</w:t>
      </w:r>
      <w:r>
        <w:rPr>
          <w:rFonts w:ascii="宋体" w:hAnsi="宋体" w:eastAsia="宋体"/>
          <w:sz w:val="21"/>
        </w:rPr>
        <w:t>：</w:t>
      </w:r>
    </w:p>
    <w:p>
      <w:pPr>
        <w:spacing w:after="120" w:line="276" w:lineRule="auto"/>
      </w:pPr>
      <w:r>
        <w:rPr>
          <w:rFonts w:ascii="宋体" w:hAnsi="宋体" w:eastAsia="宋体"/>
          <w:sz w:val="21"/>
        </w:rPr>
        <w:t>在微服务系统运行期间，一旦监控探针捕获到服务的黄金指标（响应时延、5xx 错误率、线程池队列积压）发生异常波动并跨越阈值，触发事件引擎立即捕获该故障时间窗口内的多模态可观测数据，打包生成结构化故障上下文快照。该快照被自动投递至由大语言模型驱动的</w:t>
      </w:r>
      <w:r>
        <w:rPr>
          <w:rFonts w:ascii="宋体" w:hAnsi="宋体" w:eastAsia="宋体"/>
          <w:b/>
          <w:sz w:val="21"/>
        </w:rPr>
        <w:t>自愈规划智能体（Planner Agent）</w:t>
      </w:r>
      <w:r>
        <w:rPr>
          <w:rFonts w:ascii="宋体" w:hAnsi="宋体" w:eastAsia="宋体"/>
          <w:sz w:val="21"/>
        </w:rPr>
        <w:t>。规划智能体结合故障特征与知识库推导生成修复操作 DAG 流水线；随后，</w:t>
      </w:r>
      <w:r>
        <w:rPr>
          <w:rFonts w:ascii="宋体" w:hAnsi="宋体" w:eastAsia="宋体"/>
          <w:b/>
          <w:sz w:val="21"/>
        </w:rPr>
        <w:t>安全风控智能体（Critic Agent）</w:t>
      </w:r>
      <w:r>
        <w:rPr>
          <w:rFonts w:ascii="宋体" w:hAnsi="宋体" w:eastAsia="宋体"/>
          <w:sz w:val="21"/>
        </w:rPr>
        <w:t xml:space="preserve">介入执行双智能体对抗博弈，量化计算候选操作的爆炸半径风险评分并执行形式化合规校验；审核通过的自愈流水线被下发至 </w:t>
      </w:r>
      <w:r>
        <w:rPr>
          <w:rFonts w:ascii="宋体" w:hAnsi="宋体" w:eastAsia="宋体"/>
          <w:b/>
          <w:sz w:val="21"/>
        </w:rPr>
        <w:t>Kubernetes 动态沙箱控制器</w:t>
      </w:r>
      <w:r>
        <w:rPr>
          <w:rFonts w:ascii="宋体" w:hAnsi="宋体" w:eastAsia="宋体"/>
          <w:sz w:val="21"/>
        </w:rPr>
        <w:t xml:space="preserve">与 </w:t>
      </w:r>
      <w:r>
        <w:rPr>
          <w:rFonts w:ascii="宋体" w:hAnsi="宋体" w:eastAsia="宋体"/>
          <w:b/>
          <w:sz w:val="21"/>
        </w:rPr>
        <w:t>Service Mesh 金丝雀分流模块</w:t>
      </w:r>
      <w:r>
        <w:rPr>
          <w:rFonts w:ascii="宋体" w:hAnsi="宋体" w:eastAsia="宋体"/>
          <w:sz w:val="21"/>
        </w:rPr>
        <w:t>，在隔离沙箱环境中导入微量真实探针流量试跑；</w:t>
      </w:r>
      <w:r>
        <w:rPr>
          <w:rFonts w:ascii="宋体" w:hAnsi="宋体" w:eastAsia="宋体"/>
          <w:b/>
          <w:sz w:val="21"/>
        </w:rPr>
        <w:t>闭环控制引擎</w:t>
      </w:r>
      <w:r>
        <w:rPr>
          <w:rFonts w:ascii="宋体" w:hAnsi="宋体" w:eastAsia="宋体"/>
          <w:sz w:val="21"/>
        </w:rPr>
        <w:t>实时监听金丝雀健康度评估分，根据评估结果自适应递增流量放行比例直至全量恢复，或在异常时调用反向补偿操作链执行秒级原子回滚。</w:t>
      </w:r>
    </w:p>
    <w:p>
      <w:pPr>
        <w:spacing w:after="120" w:line="276" w:lineRule="auto"/>
      </w:pPr>
      <w:r>
        <w:rPr>
          <w:rFonts w:ascii="宋体" w:hAnsi="宋体" w:eastAsia="宋体"/>
          <w:b/>
          <w:sz w:val="21"/>
        </w:rPr>
        <w:t>核心高频术语的场景定义</w:t>
      </w:r>
      <w:r>
        <w:rPr>
          <w:rFonts w:ascii="宋体" w:hAnsi="宋体" w:eastAsia="宋体"/>
          <w:sz w:val="21"/>
        </w:rPr>
        <w:t>：</w:t>
      </w:r>
    </w:p>
    <w:p>
      <w:pPr>
        <w:pStyle w:val="ListBullet"/>
        <w:spacing w:after="60"/>
      </w:pPr>
      <w:r>
        <w:rPr>
          <w:rFonts w:ascii="宋体" w:hAnsi="宋体" w:eastAsia="宋体"/>
          <w:b/>
          <w:sz w:val="21"/>
        </w:rPr>
        <w:t>自愈规划智能体（Planner Agent）</w:t>
      </w:r>
      <w:r>
        <w:rPr>
          <w:rFonts w:ascii="宋体" w:hAnsi="宋体" w:eastAsia="宋体"/>
          <w:sz w:val="21"/>
        </w:rPr>
        <w:t>：负责基于微服务多模态故障快照进行因果推理，并从运维知识图谱中检索对应预案以生成有向无环图（DAG）自愈动作流的大模型智能体。</w:t>
      </w:r>
    </w:p>
    <w:p>
      <w:pPr>
        <w:pStyle w:val="ListBullet"/>
        <w:spacing w:after="60"/>
      </w:pPr>
      <w:r>
        <w:rPr>
          <w:rFonts w:ascii="宋体" w:hAnsi="宋体" w:eastAsia="宋体"/>
          <w:b/>
          <w:sz w:val="21"/>
        </w:rPr>
        <w:t>安全风控智能体（Critic Agent）</w:t>
      </w:r>
      <w:r>
        <w:rPr>
          <w:rFonts w:ascii="宋体" w:hAnsi="宋体" w:eastAsia="宋体"/>
          <w:sz w:val="21"/>
        </w:rPr>
        <w:t>：负责对规划智能体生成的候选自愈动作执行权限校验、前置依赖检查以及全链路爆炸半径量化评估的防御性大模型智能体。</w:t>
      </w:r>
    </w:p>
    <w:p>
      <w:pPr>
        <w:pStyle w:val="ListBullet"/>
        <w:spacing w:after="60"/>
      </w:pPr>
      <w:r>
        <w:rPr>
          <w:rFonts w:ascii="宋体" w:hAnsi="宋体" w:eastAsia="宋体"/>
          <w:b/>
          <w:sz w:val="21"/>
        </w:rPr>
        <w:t>操作爆炸半径（Blast Radius）</w:t>
      </w:r>
      <w:r>
        <w:rPr>
          <w:rFonts w:ascii="宋体" w:hAnsi="宋体" w:eastAsia="宋体"/>
          <w:sz w:val="21"/>
        </w:rPr>
        <w:t>：量化表示某一运维操作若执行失败或产生副作用时，对整个分布式微服务拓扑中下游依赖节点、数据持久层及核心业务功能所造成的潜在破坏扩散范围与严重性程度。</w:t>
      </w:r>
    </w:p>
    <w:p>
      <w:pPr>
        <w:pStyle w:val="ListBullet"/>
        <w:spacing w:after="60"/>
      </w:pPr>
      <w:r>
        <w:rPr>
          <w:rFonts w:ascii="宋体" w:hAnsi="宋体" w:eastAsia="宋体"/>
          <w:b/>
          <w:sz w:val="21"/>
        </w:rPr>
        <w:t>金丝雀隔离沙箱（Canary Sandbox）</w:t>
      </w:r>
      <w:r>
        <w:rPr>
          <w:rFonts w:ascii="宋体" w:hAnsi="宋体" w:eastAsia="宋体"/>
          <w:sz w:val="21"/>
        </w:rPr>
        <w:t>：基于 Kubernetes 动态复制的、具有独立网络和计算资源隔离但共享底层存储只读视图的轻量级微服务试验 Pod 实例。</w:t>
      </w:r>
    </w:p>
    <w:p>
      <w:pPr>
        <w:pStyle w:val="ListBullet"/>
        <w:spacing w:after="60"/>
      </w:pPr>
      <w:r>
        <w:rPr>
          <w:rFonts w:ascii="宋体" w:hAnsi="宋体" w:eastAsia="宋体"/>
          <w:b/>
          <w:sz w:val="21"/>
        </w:rPr>
        <w:t>反向补偿操作链（Compensating Actions）</w:t>
      </w:r>
      <w:r>
        <w:rPr>
          <w:rFonts w:ascii="宋体" w:hAnsi="宋体" w:eastAsia="宋体"/>
          <w:sz w:val="21"/>
        </w:rPr>
        <w:t>：在自愈动作下发前根据当前系统状态快照自动生成的、与前向自愈操作节点严格对偶的逆向回滚指令集（如配置逆更新、流量切回、副本销毁等）。</w:t>
      </w:r>
    </w:p>
    <w:p>
      <w:pPr>
        <w:pStyle w:val="Heading3"/>
      </w:pPr>
      <w:r>
        <w:rPr>
          <w:rFonts w:ascii="宋体" w:hAnsi="宋体" w:eastAsia="宋体"/>
        </w:rPr>
        <w:t>3.2 系统框图</w:t>
      </w:r>
    </w:p>
    <w:p>
      <w:pPr>
        <w:spacing w:after="120" w:line="276" w:lineRule="auto"/>
      </w:pPr>
      <w:r>
        <w:rPr>
          <w:rFonts w:ascii="宋体" w:hAnsi="宋体" w:eastAsia="宋体"/>
          <w:sz w:val="21"/>
        </w:rPr>
        <w:t>本发明所提出的自愈系统整体架构如图 1 所示，分为可观测性采集与故障感知层、双智能体协同推演与风控层、金丝雀沙箱动态验证层以及自适应放行与原子回滚闭环层。</w:t>
      </w:r>
    </w:p>
    <w:p>
      <w:pPr>
        <w:spacing w:after="120" w:before="60"/>
      </w:pPr>
      <w:r>
        <w:rPr>
          <w:b w:val="0"/>
        </w:rPr>
        <w:drawing>
          <wp:inline xmlns:a="http://schemas.openxmlformats.org/drawingml/2006/main" xmlns:pic="http://schemas.openxmlformats.org/drawingml/2006/picture">
            <wp:extent cx="5029200" cy="6813898"/>
            <wp:docPr id="1" name="Picture 1"/>
            <wp:cNvGraphicFramePr>
              <a:graphicFrameLocks noChangeAspect="1"/>
            </wp:cNvGraphicFramePr>
            <a:graphic>
              <a:graphicData uri="http://schemas.openxmlformats.org/drawingml/2006/picture">
                <pic:pic>
                  <pic:nvPicPr>
                    <pic:cNvPr id="0" name="fig_001.png"/>
                    <pic:cNvPicPr/>
                  </pic:nvPicPr>
                  <pic:blipFill>
                    <a:blip r:embed="rId9"/>
                    <a:stretch>
                      <a:fillRect/>
                    </a:stretch>
                  </pic:blipFill>
                  <pic:spPr>
                    <a:xfrm>
                      <a:off x="0" y="0"/>
                      <a:ext cx="5029200" cy="6813898"/>
                    </a:xfrm>
                    <a:prstGeom prst="rect"/>
                  </pic:spPr>
                </pic:pic>
              </a:graphicData>
            </a:graphic>
          </wp:inline>
        </w:drawing>
      </w:r>
    </w:p>
    <w:p>
      <w:pPr>
        <w:pStyle w:val="Heading3"/>
      </w:pPr>
      <w:r>
        <w:rPr>
          <w:rFonts w:ascii="宋体" w:hAnsi="宋体" w:eastAsia="宋体"/>
        </w:rPr>
        <w:t>3.3 模块功能说明</w:t>
      </w:r>
    </w:p>
    <w:p>
      <w:pPr>
        <w:spacing w:after="120" w:line="276" w:lineRule="auto"/>
      </w:pPr>
      <w:r>
        <w:rPr>
          <w:rFonts w:ascii="宋体" w:hAnsi="宋体" w:eastAsia="宋体"/>
          <w:sz w:val="21"/>
        </w:rPr>
        <w:t>依据图 1 所示的系统框图，各模块的核心作用与关联关系如下：</w:t>
      </w:r>
    </w:p>
    <w:p>
      <w:pPr>
        <w:pStyle w:val="ListNumber"/>
        <w:spacing w:after="60"/>
        <w:numPr>
          <w:ilvl w:val="0"/>
          <w:numId w:val="13"/>
        </w:numPr>
      </w:pPr>
      <w:r>
        <w:rPr>
          <w:rFonts w:ascii="宋体" w:hAnsi="宋体" w:eastAsia="宋体"/>
          <w:b/>
          <w:sz w:val="21"/>
        </w:rPr>
        <w:t>多模态可观测性采集组件（含模块 M1、M2、M3、M4）</w:t>
      </w:r>
      <w:r>
        <w:rPr>
          <w:rFonts w:ascii="宋体" w:hAnsi="宋体" w:eastAsia="宋体"/>
          <w:sz w:val="21"/>
        </w:rPr>
        <w:t>：</w:t>
      </w:r>
    </w:p>
    <w:p>
      <w:pPr>
        <w:pStyle w:val="ListBullet"/>
        <w:spacing w:after="60"/>
      </w:pPr>
      <w:r>
        <w:rPr>
          <w:rFonts w:ascii="宋体" w:hAnsi="宋体" w:eastAsia="宋体"/>
          <w:b/>
          <w:sz w:val="21"/>
        </w:rPr>
        <w:t>作用</w:t>
      </w:r>
      <w:r>
        <w:rPr>
          <w:rFonts w:ascii="宋体" w:hAnsi="宋体" w:eastAsia="宋体"/>
          <w:sz w:val="21"/>
        </w:rPr>
        <w:t>：实时无侵入采集运行中的 Kubernetes Pod 性能指标（CPU利用率、内存物理占用、JVM堆内存、TCP连接数）、分布式追踪链路数据（TraceID、SpanID、RPC 耗时与状态码）以及容器标准输出日志；在检测到 SLO 越界异常时，对齐时间戳并构建包含故障微服务元数据、上下游调用拓扑片段与异常堆栈信息的标准 JSON 格式故障上下文快照。</w:t>
      </w:r>
    </w:p>
    <w:p>
      <w:pPr>
        <w:pStyle w:val="ListBullet"/>
        <w:spacing w:after="60"/>
      </w:pPr>
      <w:r>
        <w:rPr>
          <w:rFonts w:ascii="宋体" w:hAnsi="宋体" w:eastAsia="宋体"/>
          <w:b/>
          <w:sz w:val="21"/>
        </w:rPr>
        <w:t>关联关系</w:t>
      </w:r>
      <w:r>
        <w:rPr>
          <w:rFonts w:ascii="宋体" w:hAnsi="宋体" w:eastAsia="宋体"/>
          <w:sz w:val="21"/>
        </w:rPr>
        <w:t>：位于系统数据输入端，向双智能体协同推演层提供结构化的故障诊断依据。</w:t>
      </w:r>
    </w:p>
    <w:p>
      <w:pPr>
        <w:pStyle w:val="ListNumber"/>
        <w:spacing w:after="60"/>
        <w:numPr>
          <w:ilvl w:val="0"/>
          <w:numId w:val="13"/>
        </w:numPr>
      </w:pPr>
      <w:r>
        <w:rPr>
          <w:rFonts w:ascii="宋体" w:hAnsi="宋体" w:eastAsia="宋体"/>
          <w:b/>
          <w:sz w:val="21"/>
        </w:rPr>
        <w:t>自愈规划智能体（模块 A1，配合 A2 知识图谱）</w:t>
      </w:r>
      <w:r>
        <w:rPr>
          <w:rFonts w:ascii="宋体" w:hAnsi="宋体" w:eastAsia="宋体"/>
          <w:sz w:val="21"/>
        </w:rPr>
        <w:t>：</w:t>
      </w:r>
    </w:p>
    <w:p>
      <w:pPr>
        <w:pStyle w:val="ListBullet"/>
        <w:spacing w:after="60"/>
      </w:pPr>
      <w:r>
        <w:rPr>
          <w:rFonts w:ascii="宋体" w:hAnsi="宋体" w:eastAsia="宋体"/>
          <w:b/>
          <w:sz w:val="21"/>
        </w:rPr>
        <w:t>作用</w:t>
      </w:r>
      <w:r>
        <w:rPr>
          <w:rFonts w:ascii="宋体" w:hAnsi="宋体" w:eastAsia="宋体"/>
          <w:sz w:val="21"/>
        </w:rPr>
        <w:t>：以故障上下文快照为输入，结合企业预置的 SRE 运维知识图谱与历史修复 Runbook，通过大模型思维链（Chain-of-Thought）进行根因推导；将高层自愈意图分解为一系列具有严格前序依赖关系的原子化控制指令（包括但不限于：环境变量修改、JVM 参数调整、Sidecar 路由权重修改、Pod 副本扩容、连接池上限重设），并拓扑排序为自愈操作有向无环图（DAG）。</w:t>
      </w:r>
    </w:p>
    <w:p>
      <w:pPr>
        <w:pStyle w:val="ListBullet"/>
        <w:spacing w:after="60"/>
      </w:pPr>
      <w:r>
        <w:rPr>
          <w:rFonts w:ascii="宋体" w:hAnsi="宋体" w:eastAsia="宋体"/>
          <w:b/>
          <w:sz w:val="21"/>
        </w:rPr>
        <w:t>关联关系</w:t>
      </w:r>
      <w:r>
        <w:rPr>
          <w:rFonts w:ascii="宋体" w:hAnsi="宋体" w:eastAsia="宋体"/>
          <w:sz w:val="21"/>
        </w:rPr>
        <w:t>：上承可观测性上下文，下游与安全风控智能体构成对抗博弈回路。</w:t>
      </w:r>
    </w:p>
    <w:p>
      <w:pPr>
        <w:pStyle w:val="ListNumber"/>
        <w:spacing w:after="60"/>
        <w:numPr>
          <w:ilvl w:val="0"/>
          <w:numId w:val="13"/>
        </w:numPr>
      </w:pPr>
      <w:r>
        <w:rPr>
          <w:rFonts w:ascii="宋体" w:hAnsi="宋体" w:eastAsia="宋体"/>
          <w:b/>
          <w:sz w:val="21"/>
        </w:rPr>
        <w:t>安全风控智能体（模块 A3，配合 A4、A5 评估引擎）</w:t>
      </w:r>
      <w:r>
        <w:rPr>
          <w:rFonts w:ascii="宋体" w:hAnsi="宋体" w:eastAsia="宋体"/>
          <w:sz w:val="21"/>
        </w:rPr>
        <w:t>：</w:t>
      </w:r>
    </w:p>
    <w:p>
      <w:pPr>
        <w:pStyle w:val="ListBullet"/>
        <w:spacing w:after="60"/>
      </w:pPr>
      <w:r>
        <w:rPr>
          <w:rFonts w:ascii="宋体" w:hAnsi="宋体" w:eastAsia="宋体"/>
          <w:b/>
          <w:sz w:val="21"/>
        </w:rPr>
        <w:t>作用</w:t>
      </w:r>
      <w:r>
        <w:rPr>
          <w:rFonts w:ascii="宋体" w:hAnsi="宋体" w:eastAsia="宋体"/>
          <w:sz w:val="21"/>
        </w:rPr>
        <w:t>：担任“运维红蓝对抗”中的防御审查角色。首先基于规则引擎对自愈 DAG 进行命令白名单与只读/写入权限边界的形式化语义校验；其次调用</w:t>
      </w:r>
      <w:r>
        <w:rPr>
          <w:rFonts w:ascii="宋体" w:hAnsi="宋体" w:eastAsia="宋体"/>
          <w:b/>
          <w:sz w:val="21"/>
        </w:rPr>
        <w:t>爆炸半径量化评估引擎（A5）</w:t>
      </w:r>
      <w:r>
        <w:rPr>
          <w:rFonts w:ascii="宋体" w:hAnsi="宋体" w:eastAsia="宋体"/>
          <w:sz w:val="21"/>
        </w:rPr>
        <w:t>，基于当前实时微服务拓扑图（A4）计算该自愈动作集对下游核心链路的连带波及风险；若风险评分越过阈值或发现死锁循环依赖，则直接拦截并生成反思提示词（Feedback Prompt）回传给规划智能体触发重新规划。</w:t>
      </w:r>
    </w:p>
    <w:p>
      <w:pPr>
        <w:pStyle w:val="ListBullet"/>
        <w:spacing w:after="60"/>
      </w:pPr>
      <w:r>
        <w:rPr>
          <w:rFonts w:ascii="宋体" w:hAnsi="宋体" w:eastAsia="宋体"/>
          <w:b/>
          <w:sz w:val="21"/>
        </w:rPr>
        <w:t>关联关系</w:t>
      </w:r>
      <w:r>
        <w:rPr>
          <w:rFonts w:ascii="宋体" w:hAnsi="宋体" w:eastAsia="宋体"/>
          <w:sz w:val="21"/>
        </w:rPr>
        <w:t>：处于自愈指令进入执行前的关键门禁卡点，审核通过后方可下发至沙箱验证层。</w:t>
      </w:r>
    </w:p>
    <w:p>
      <w:pPr>
        <w:pStyle w:val="ListNumber"/>
        <w:spacing w:after="60"/>
        <w:numPr>
          <w:ilvl w:val="0"/>
          <w:numId w:val="13"/>
        </w:numPr>
      </w:pPr>
      <w:r>
        <w:rPr>
          <w:rFonts w:ascii="宋体" w:hAnsi="宋体" w:eastAsia="宋体"/>
          <w:b/>
          <w:sz w:val="21"/>
        </w:rPr>
        <w:t>K8s 动态沙箱控制器与隔离沙箱 Pod（模块 S1、S2）</w:t>
      </w:r>
      <w:r>
        <w:rPr>
          <w:rFonts w:ascii="宋体" w:hAnsi="宋体" w:eastAsia="宋体"/>
          <w:sz w:val="21"/>
        </w:rPr>
        <w:t>：</w:t>
      </w:r>
    </w:p>
    <w:p>
      <w:pPr>
        <w:pStyle w:val="ListBullet"/>
        <w:spacing w:after="60"/>
      </w:pPr>
      <w:r>
        <w:rPr>
          <w:rFonts w:ascii="宋体" w:hAnsi="宋体" w:eastAsia="宋体"/>
          <w:b/>
          <w:sz w:val="21"/>
        </w:rPr>
        <w:t>作用</w:t>
      </w:r>
      <w:r>
        <w:rPr>
          <w:rFonts w:ascii="宋体" w:hAnsi="宋体" w:eastAsia="宋体"/>
          <w:sz w:val="21"/>
        </w:rPr>
        <w:t>：当接收到经审核的自愈 DAG 时，调用 Kubernetes API Server 在目标微服务所在的命名空间下动态克隆并拉起一个轻量级隔离验证副本（Canary Sandbox Pod）；该副本挂载与生产实例一致的配置字典（ConfigMap），并在容器级别隔离写入状态。</w:t>
      </w:r>
    </w:p>
    <w:p>
      <w:pPr>
        <w:pStyle w:val="ListBullet"/>
        <w:spacing w:after="60"/>
      </w:pPr>
      <w:r>
        <w:rPr>
          <w:rFonts w:ascii="宋体" w:hAnsi="宋体" w:eastAsia="宋体"/>
          <w:b/>
          <w:sz w:val="21"/>
        </w:rPr>
        <w:t>关联关系</w:t>
      </w:r>
      <w:r>
        <w:rPr>
          <w:rFonts w:ascii="宋体" w:hAnsi="宋体" w:eastAsia="宋体"/>
          <w:sz w:val="21"/>
        </w:rPr>
        <w:t>：为自愈指令提供零线上风险的真实运行宿主。</w:t>
      </w:r>
    </w:p>
    <w:p>
      <w:pPr>
        <w:pStyle w:val="ListNumber"/>
        <w:spacing w:after="60"/>
        <w:numPr>
          <w:ilvl w:val="0"/>
          <w:numId w:val="13"/>
        </w:numPr>
      </w:pPr>
      <w:r>
        <w:rPr>
          <w:rFonts w:ascii="宋体" w:hAnsi="宋体" w:eastAsia="宋体"/>
          <w:b/>
          <w:sz w:val="21"/>
        </w:rPr>
        <w:t>Service Mesh 动态流量切分边车（模块 S3）</w:t>
      </w:r>
      <w:r>
        <w:rPr>
          <w:rFonts w:ascii="宋体" w:hAnsi="宋体" w:eastAsia="宋体"/>
          <w:sz w:val="21"/>
        </w:rPr>
        <w:t>：</w:t>
      </w:r>
    </w:p>
    <w:p>
      <w:pPr>
        <w:pStyle w:val="ListBullet"/>
        <w:spacing w:after="60"/>
      </w:pPr>
      <w:r>
        <w:rPr>
          <w:rFonts w:ascii="宋体" w:hAnsi="宋体" w:eastAsia="宋体"/>
          <w:b/>
          <w:sz w:val="21"/>
        </w:rPr>
        <w:t>作用</w:t>
      </w:r>
      <w:r>
        <w:rPr>
          <w:rFonts w:ascii="宋体" w:hAnsi="宋体" w:eastAsia="宋体"/>
          <w:sz w:val="21"/>
        </w:rPr>
        <w:t>：通过更新 Envoy 边车的 VirtualService 与 DestinationRule 配置，从进入目标微服务的全量请求流中精确切分出微量（例如 1%~5%）的真实业务探针流量或基于影子拷贝（Traffic Mirroring）生成的无副作用流量，将其重定向至隔离沙箱 Pod。</w:t>
      </w:r>
    </w:p>
    <w:p>
      <w:pPr>
        <w:pStyle w:val="ListBullet"/>
        <w:spacing w:after="60"/>
      </w:pPr>
      <w:r>
        <w:rPr>
          <w:rFonts w:ascii="宋体" w:hAnsi="宋体" w:eastAsia="宋体"/>
          <w:b/>
          <w:sz w:val="21"/>
        </w:rPr>
        <w:t>关联关系</w:t>
      </w:r>
      <w:r>
        <w:rPr>
          <w:rFonts w:ascii="宋体" w:hAnsi="宋体" w:eastAsia="宋体"/>
          <w:sz w:val="21"/>
        </w:rPr>
        <w:t>：协同沙箱控制器实现对生产业务无感知的试错流量导入。</w:t>
      </w:r>
    </w:p>
    <w:p>
      <w:pPr>
        <w:pStyle w:val="ListNumber"/>
        <w:spacing w:after="60"/>
        <w:numPr>
          <w:ilvl w:val="0"/>
          <w:numId w:val="13"/>
        </w:numPr>
      </w:pPr>
      <w:r>
        <w:rPr>
          <w:rFonts w:ascii="宋体" w:hAnsi="宋体" w:eastAsia="宋体"/>
          <w:b/>
          <w:sz w:val="21"/>
        </w:rPr>
        <w:t>金丝雀健康度实时监控探针（模块 S4）</w:t>
      </w:r>
      <w:r>
        <w:rPr>
          <w:rFonts w:ascii="宋体" w:hAnsi="宋体" w:eastAsia="宋体"/>
          <w:sz w:val="21"/>
        </w:rPr>
        <w:t>：</w:t>
      </w:r>
    </w:p>
    <w:p>
      <w:pPr>
        <w:pStyle w:val="ListBullet"/>
        <w:spacing w:after="60"/>
      </w:pPr>
      <w:r>
        <w:rPr>
          <w:rFonts w:ascii="宋体" w:hAnsi="宋体" w:eastAsia="宋体"/>
          <w:b/>
          <w:sz w:val="21"/>
        </w:rPr>
        <w:t>作用</w:t>
      </w:r>
      <w:r>
        <w:rPr>
          <w:rFonts w:ascii="宋体" w:hAnsi="宋体" w:eastAsia="宋体"/>
          <w:sz w:val="21"/>
        </w:rPr>
        <w:t>：高频采集流入沙箱 Pod 的探针请求处理结果，包括请求错误率、P99 响应耗时与系统资源利用率，通过指数滑动平滑算法计算沙箱实例的健康度综合评估分。</w:t>
      </w:r>
    </w:p>
    <w:p>
      <w:pPr>
        <w:pStyle w:val="ListBullet"/>
        <w:spacing w:after="60"/>
      </w:pPr>
      <w:r>
        <w:rPr>
          <w:rFonts w:ascii="宋体" w:hAnsi="宋体" w:eastAsia="宋体"/>
          <w:b/>
          <w:sz w:val="21"/>
        </w:rPr>
        <w:t>关联关系</w:t>
      </w:r>
      <w:r>
        <w:rPr>
          <w:rFonts w:ascii="宋体" w:hAnsi="宋体" w:eastAsia="宋体"/>
          <w:sz w:val="21"/>
        </w:rPr>
        <w:t>：将沙箱试运行状态作为触发渐进式全量推广或原子回滚的决策输入。</w:t>
      </w:r>
    </w:p>
    <w:p>
      <w:pPr>
        <w:pStyle w:val="ListNumber"/>
        <w:spacing w:after="60"/>
        <w:numPr>
          <w:ilvl w:val="0"/>
          <w:numId w:val="13"/>
        </w:numPr>
      </w:pPr>
      <w:r>
        <w:rPr>
          <w:rFonts w:ascii="宋体" w:hAnsi="宋体" w:eastAsia="宋体"/>
          <w:b/>
          <w:sz w:val="21"/>
        </w:rPr>
        <w:t>自适应渐进放行控制器（模块 E1，配合 E2）</w:t>
      </w:r>
      <w:r>
        <w:rPr>
          <w:rFonts w:ascii="宋体" w:hAnsi="宋体" w:eastAsia="宋体"/>
          <w:sz w:val="21"/>
        </w:rPr>
        <w:t>：</w:t>
      </w:r>
    </w:p>
    <w:p>
      <w:pPr>
        <w:pStyle w:val="ListBullet"/>
        <w:spacing w:after="60"/>
      </w:pPr>
      <w:r>
        <w:rPr>
          <w:rFonts w:ascii="宋体" w:hAnsi="宋体" w:eastAsia="宋体"/>
          <w:b/>
          <w:sz w:val="21"/>
        </w:rPr>
        <w:t>作用</w:t>
      </w:r>
      <w:r>
        <w:rPr>
          <w:rFonts w:ascii="宋体" w:hAnsi="宋体" w:eastAsia="宋体"/>
          <w:sz w:val="21"/>
        </w:rPr>
        <w:t>：在沙箱验证健康度达到准入阈值后，以自适应可调步长驱动 Service Mesh 逐步提升自愈版本在生产环境的承接流量权重（例如由 5% 平滑放行至 20%、50%直至 100%），并在每轮放行后观察健康度收敛情况。</w:t>
      </w:r>
    </w:p>
    <w:p>
      <w:pPr>
        <w:pStyle w:val="ListBullet"/>
        <w:spacing w:after="60"/>
      </w:pPr>
      <w:r>
        <w:rPr>
          <w:rFonts w:ascii="宋体" w:hAnsi="宋体" w:eastAsia="宋体"/>
          <w:b/>
          <w:sz w:val="21"/>
        </w:rPr>
        <w:t>关联关系</w:t>
      </w:r>
      <w:r>
        <w:rPr>
          <w:rFonts w:ascii="宋体" w:hAnsi="宋体" w:eastAsia="宋体"/>
          <w:sz w:val="21"/>
        </w:rPr>
        <w:t>：管理线上服务恢复的灰度全生命周期。</w:t>
      </w:r>
    </w:p>
    <w:p>
      <w:pPr>
        <w:pStyle w:val="ListNumber"/>
        <w:spacing w:after="60"/>
        <w:numPr>
          <w:ilvl w:val="0"/>
          <w:numId w:val="13"/>
        </w:numPr>
      </w:pPr>
      <w:r>
        <w:rPr>
          <w:rFonts w:ascii="宋体" w:hAnsi="宋体" w:eastAsia="宋体"/>
          <w:b/>
          <w:sz w:val="21"/>
        </w:rPr>
        <w:t>底层系统状态快照管理器与反向补偿操作回滚引擎（模块 E3、E4）</w:t>
      </w:r>
      <w:r>
        <w:rPr>
          <w:rFonts w:ascii="宋体" w:hAnsi="宋体" w:eastAsia="宋体"/>
          <w:sz w:val="21"/>
        </w:rPr>
        <w:t>：</w:t>
      </w:r>
    </w:p>
    <w:p>
      <w:pPr>
        <w:pStyle w:val="ListBullet"/>
        <w:spacing w:after="60"/>
      </w:pPr>
      <w:r>
        <w:rPr>
          <w:rFonts w:ascii="宋体" w:hAnsi="宋体" w:eastAsia="宋体"/>
          <w:b/>
          <w:sz w:val="21"/>
        </w:rPr>
        <w:t>作用</w:t>
      </w:r>
      <w:r>
        <w:rPr>
          <w:rFonts w:ascii="宋体" w:hAnsi="宋体" w:eastAsia="宋体"/>
          <w:sz w:val="21"/>
        </w:rPr>
        <w:t>：在执行任何写入性自愈操作前，快照管理器预先将目标 Kubernetes 资源的当前 YAML 清单、网络策略及配置数据持久化存储；回滚引擎根据执行的自愈 DAG 自动反向生成补偿指令集；一旦金丝雀监控探针判定健康度出现反向劣化，回滚引擎立即在秒级时间内重置网络流向、销毁异常沙箱并按快照恢复原始配置。</w:t>
      </w:r>
    </w:p>
    <w:p>
      <w:pPr>
        <w:pStyle w:val="ListBullet"/>
        <w:spacing w:after="60"/>
      </w:pPr>
      <w:r>
        <w:rPr>
          <w:rFonts w:ascii="宋体" w:hAnsi="宋体" w:eastAsia="宋体"/>
          <w:b/>
          <w:sz w:val="21"/>
        </w:rPr>
        <w:t>关联关系</w:t>
      </w:r>
      <w:r>
        <w:rPr>
          <w:rFonts w:ascii="宋体" w:hAnsi="宋体" w:eastAsia="宋体"/>
          <w:sz w:val="21"/>
        </w:rPr>
        <w:t>：构成整个自愈系统的终极安全底座与熔断兜底闭环。</w:t>
      </w:r>
    </w:p>
    <w:p>
      <w:pPr>
        <w:pStyle w:val="Heading3"/>
      </w:pPr>
      <w:r>
        <w:rPr>
          <w:rFonts w:ascii="宋体" w:hAnsi="宋体" w:eastAsia="宋体"/>
        </w:rPr>
        <w:t>3.4 系统流程说明</w:t>
      </w:r>
    </w:p>
    <w:p>
      <w:pPr>
        <w:spacing w:after="120" w:line="276" w:lineRule="auto"/>
      </w:pPr>
      <w:r>
        <w:rPr>
          <w:rFonts w:ascii="宋体" w:hAnsi="宋体" w:eastAsia="宋体"/>
          <w:sz w:val="21"/>
        </w:rPr>
        <w:t>本发明的完整工作流程包含自愈准备、双智能体对抗规划、金丝雀沙箱试跑以及自适应闭环推广四个阶段，如图 2 所示。</w:t>
      </w:r>
    </w:p>
    <w:p>
      <w:pPr>
        <w:spacing w:after="120" w:before="60"/>
      </w:pPr>
      <w:r>
        <w:rPr>
          <w:b w:val="0"/>
        </w:rPr>
        <w:drawing>
          <wp:inline xmlns:a="http://schemas.openxmlformats.org/drawingml/2006/main" xmlns:pic="http://schemas.openxmlformats.org/drawingml/2006/picture">
            <wp:extent cx="2243767" cy="7498079"/>
            <wp:docPr id="2" name="Picture 2"/>
            <wp:cNvGraphicFramePr>
              <a:graphicFrameLocks noChangeAspect="1"/>
            </wp:cNvGraphicFramePr>
            <a:graphic>
              <a:graphicData uri="http://schemas.openxmlformats.org/drawingml/2006/picture">
                <pic:pic>
                  <pic:nvPicPr>
                    <pic:cNvPr id="0" name="fig_002.png"/>
                    <pic:cNvPicPr/>
                  </pic:nvPicPr>
                  <pic:blipFill>
                    <a:blip r:embed="rId10"/>
                    <a:stretch>
                      <a:fillRect/>
                    </a:stretch>
                  </pic:blipFill>
                  <pic:spPr>
                    <a:xfrm>
                      <a:off x="0" y="0"/>
                      <a:ext cx="2243767" cy="7498079"/>
                    </a:xfrm>
                    <a:prstGeom prst="rect"/>
                  </pic:spPr>
                </pic:pic>
              </a:graphicData>
            </a:graphic>
          </wp:inline>
        </w:drawing>
      </w:r>
    </w:p>
    <w:p>
      <w:pPr>
        <w:pStyle w:val="Heading4"/>
      </w:pPr>
      <w:r>
        <w:rPr>
          <w:rFonts w:ascii="宋体" w:hAnsi="宋体" w:eastAsia="宋体"/>
        </w:rPr>
        <w:t>流程详细步骤说明：</w:t>
      </w:r>
    </w:p>
    <w:p>
      <w:pPr>
        <w:pStyle w:val="ListBullet"/>
        <w:spacing w:after="60"/>
      </w:pPr>
      <w:r>
        <w:rPr>
          <w:rFonts w:ascii="宋体" w:hAnsi="宋体" w:eastAsia="宋体"/>
          <w:b/>
          <w:sz w:val="21"/>
        </w:rPr>
        <w:t>步骤 S1：多模态遥测采集</w:t>
      </w:r>
      <w:r>
        <w:rPr>
          <w:rFonts w:ascii="宋体" w:hAnsi="宋体" w:eastAsia="宋体"/>
          <w:sz w:val="21"/>
        </w:rPr>
        <w:t>：部署在各微服务节点上的 OpenTelemetry Agent 持续收集 Prometheus 性能时序指标、分布式 Trace 调用链路及容器运行日志，并异步汇聚到集群事件总线。</w:t>
      </w:r>
    </w:p>
    <w:p>
      <w:pPr>
        <w:pStyle w:val="ListBullet"/>
        <w:spacing w:after="60"/>
      </w:pPr>
      <w:r>
        <w:rPr>
          <w:rFonts w:ascii="宋体" w:hAnsi="宋体" w:eastAsia="宋体"/>
          <w:b/>
          <w:sz w:val="21"/>
        </w:rPr>
        <w:t>步骤 S2：故障感知与快照对齐</w:t>
      </w:r>
      <w:r>
        <w:rPr>
          <w:rFonts w:ascii="宋体" w:hAnsi="宋体" w:eastAsia="宋体"/>
          <w:sz w:val="21"/>
        </w:rPr>
        <w:t>：当某一微服务节点的核心业务指标持续超过健康阈值（如连续 5 秒错误率高于 5% 或 P99 时延劣变 3 倍以上）时，事件引擎自动捕获前后 60 秒时间窗内的全链路遥测数据，构建包含服务拓扑深度、异常堆栈与关键指标变动率的结构化 JSON 故障上下文快照。</w:t>
      </w:r>
    </w:p>
    <w:p>
      <w:pPr>
        <w:pStyle w:val="ListBullet"/>
        <w:spacing w:after="60"/>
      </w:pPr>
      <w:r>
        <w:rPr>
          <w:rFonts w:ascii="宋体" w:hAnsi="宋体" w:eastAsia="宋体"/>
          <w:b/>
          <w:sz w:val="21"/>
        </w:rPr>
        <w:t>步骤 S3：自愈操作 DAG 生成</w:t>
      </w:r>
      <w:r>
        <w:rPr>
          <w:rFonts w:ascii="宋体" w:hAnsi="宋体" w:eastAsia="宋体"/>
          <w:sz w:val="21"/>
        </w:rPr>
        <w:t>：规划智能体以大模型为核心，将故障快照与企业知识库中相似案例的 Runbook 匹配对齐，推导出原子化自愈操作节点（如调整 JVM 堆参数、隔离慢节点、重启异常 Pod 等），并按执行依赖关系组织为自愈操作 DAG。</w:t>
      </w:r>
    </w:p>
    <w:p>
      <w:pPr>
        <w:pStyle w:val="ListBullet"/>
        <w:spacing w:after="60"/>
      </w:pPr>
      <w:r>
        <w:rPr>
          <w:rFonts w:ascii="宋体" w:hAnsi="宋体" w:eastAsia="宋体"/>
          <w:b/>
          <w:sz w:val="21"/>
        </w:rPr>
        <w:t>步骤 S4：爆炸半径与安全性形式化评估</w:t>
      </w:r>
      <w:r>
        <w:rPr>
          <w:rFonts w:ascii="宋体" w:hAnsi="宋体" w:eastAsia="宋体"/>
          <w:sz w:val="21"/>
        </w:rPr>
        <w:t xml:space="preserve">：风控智能体解析自愈 DAG，对每个操作节点匹配操作白名单；同时结合全集群实时服务调用拓扑图，计算候选操作的综合爆炸半径评分 </w:t>
      </w:r>
      <m:oMath>
        <m:sSub>
          <m:e>
            <m:r>
              <m:rPr>
                <m:sty m:val="p"/>
              </m:rPr>
              <w:rPr>
                <w:rFonts w:ascii="Cambria Math" w:hAnsi="Cambria Math" w:cs="Cambria Math" w:eastAsia="Cambria Math"/>
              </w:rPr>
              <m:t>B</m:t>
            </m:r>
          </m:e>
          <m:sub>
            <m:r>
              <m:rPr>
                <m:sty m:val="p"/>
              </m:rPr>
              <w:rPr>
                <w:rFonts w:ascii="Cambria Math" w:hAnsi="Cambria Math" w:cs="Cambria Math" w:eastAsia="Cambria Math"/>
              </w:rPr>
              <m:t>k</m:t>
            </m:r>
          </m:sub>
        </m:sSub>
      </m:oMath>
      <w:r>
        <w:rPr>
          <w:rFonts w:ascii="宋体" w:hAnsi="宋体" w:eastAsia="宋体"/>
          <w:sz w:val="21"/>
        </w:rPr>
        <w:t>。</w:t>
      </w:r>
    </w:p>
    <w:p>
      <w:pPr>
        <w:pStyle w:val="ListBullet"/>
        <w:spacing w:after="60"/>
      </w:pPr>
      <w:r>
        <w:rPr>
          <w:rFonts w:ascii="宋体" w:hAnsi="宋体" w:eastAsia="宋体"/>
          <w:b/>
          <w:sz w:val="21"/>
        </w:rPr>
        <w:t>步骤 S5：对抗校验分支判断</w:t>
      </w:r>
      <w:r>
        <w:rPr>
          <w:rFonts w:ascii="宋体" w:hAnsi="宋体" w:eastAsia="宋体"/>
          <w:sz w:val="21"/>
        </w:rPr>
        <w:t xml:space="preserve">：若 </w:t>
      </w:r>
      <m:oMath>
        <m:sSub>
          <m:e>
            <m:r>
              <m:rPr>
                <m:sty m:val="p"/>
              </m:rPr>
              <w:rPr>
                <w:rFonts w:ascii="Cambria Math" w:hAnsi="Cambria Math" w:cs="Cambria Math" w:eastAsia="Cambria Math"/>
              </w:rPr>
              <m:t>B</m:t>
            </m:r>
          </m:e>
          <m:sub>
            <m:r>
              <m:rPr>
                <m:sty m:val="p"/>
              </m:rPr>
              <w:rPr>
                <w:rFonts w:ascii="Cambria Math" w:hAnsi="Cambria Math" w:cs="Cambria Math" w:eastAsia="Cambria Math"/>
              </w:rPr>
              <m:t>k</m:t>
            </m:r>
          </m:sub>
        </m:sSub>
      </m:oMath>
      <w:r>
        <w:rPr>
          <w:rFonts w:ascii="宋体" w:hAnsi="宋体" w:eastAsia="宋体"/>
          <w:sz w:val="21"/>
        </w:rPr>
        <w:t xml:space="preserve"> 超过安全阈值或存在高危非法指令，风控智能体阻断流程，将违规风险原因封装为自然语言反馈回传给规划智能体，引导其在更安全的约束边界内重新规划（返回步骤 S3）；若校验通过，则放行下发。</w:t>
      </w:r>
    </w:p>
    <w:p>
      <w:pPr>
        <w:pStyle w:val="ListBullet"/>
        <w:spacing w:after="60"/>
      </w:pPr>
      <w:r>
        <w:rPr>
          <w:rFonts w:ascii="宋体" w:hAnsi="宋体" w:eastAsia="宋体"/>
          <w:b/>
          <w:sz w:val="21"/>
        </w:rPr>
        <w:t>步骤 S6：状态快照保存与反向补偿构建</w:t>
      </w:r>
      <w:r>
        <w:rPr>
          <w:rFonts w:ascii="宋体" w:hAnsi="宋体" w:eastAsia="宋体"/>
          <w:sz w:val="21"/>
        </w:rPr>
        <w:t>：在指令下发执行前，系统快照管理器导出目标微服务的当前运行时 YAML 配置、ConfigMap 及网络策略快照；同时根据自愈 DAG 的每个操作动作构建对偶的反向回滚动作序列（如“扩容”对偶“缩容”、“配置修改”对偶“配置还原”）。</w:t>
      </w:r>
    </w:p>
    <w:p>
      <w:pPr>
        <w:pStyle w:val="ListBullet"/>
        <w:spacing w:after="60"/>
      </w:pPr>
      <w:r>
        <w:rPr>
          <w:rFonts w:ascii="宋体" w:hAnsi="宋体" w:eastAsia="宋体"/>
          <w:b/>
          <w:sz w:val="21"/>
        </w:rPr>
        <w:t>步骤 S7：动态沙箱创建</w:t>
      </w:r>
      <w:r>
        <w:rPr>
          <w:rFonts w:ascii="宋体" w:hAnsi="宋体" w:eastAsia="宋体"/>
          <w:sz w:val="21"/>
        </w:rPr>
        <w:t xml:space="preserve">：Kubernetes 沙箱控制器调用 API Server 动态拉起具有与目标故障实例相同镜像与配置的临时验证 Pod，打上特殊的 </w:t>
      </w:r>
      <w:r>
        <w:rPr>
          <w:rFonts w:ascii="宋体" w:hAnsi="宋体" w:eastAsia="宋体"/>
          <w:color w:val="333333"/>
          <w:sz w:val="21"/>
        </w:rPr>
        <w:t>sandbox=true</w:t>
      </w:r>
      <w:r>
        <w:rPr>
          <w:rFonts w:ascii="宋体" w:hAnsi="宋体" w:eastAsia="宋体"/>
          <w:sz w:val="21"/>
        </w:rPr>
        <w:t xml:space="preserve"> 标签，并注入轻量资源配额。</w:t>
      </w:r>
    </w:p>
    <w:p>
      <w:pPr>
        <w:pStyle w:val="ListBullet"/>
        <w:spacing w:after="60"/>
      </w:pPr>
      <w:r>
        <w:rPr>
          <w:rFonts w:ascii="宋体" w:hAnsi="宋体" w:eastAsia="宋体"/>
          <w:b/>
          <w:sz w:val="21"/>
        </w:rPr>
        <w:t>步骤 S8：微量探针流量动态切分</w:t>
      </w:r>
      <w:r>
        <w:rPr>
          <w:rFonts w:ascii="宋体" w:hAnsi="宋体" w:eastAsia="宋体"/>
          <w:sz w:val="21"/>
        </w:rPr>
        <w:t>：服务网格边车控制器下发动态路由规则，利用 Envoy 权重切分机制，将外部请求流量的 1%~5% 分流至沙箱 Pod，其余绝大部分流量继续由生产现有节点承接。</w:t>
      </w:r>
    </w:p>
    <w:p>
      <w:pPr>
        <w:pStyle w:val="ListBullet"/>
        <w:spacing w:after="60"/>
      </w:pPr>
      <w:r>
        <w:rPr>
          <w:rFonts w:ascii="宋体" w:hAnsi="宋体" w:eastAsia="宋体"/>
          <w:b/>
          <w:sz w:val="21"/>
        </w:rPr>
        <w:t>步骤 S9：沙箱试运行与健康度滑动计算</w:t>
      </w:r>
      <w:r>
        <w:rPr>
          <w:rFonts w:ascii="宋体" w:hAnsi="宋体" w:eastAsia="宋体"/>
          <w:sz w:val="21"/>
        </w:rPr>
        <w:t xml:space="preserve">：在沙箱 Pod 中顺序执行自愈 DAG 操作，监控探针持续采集沙箱节点的瞬时时延与错误率，并基于指数移动平均（EMA）计算综合健康度评分 </w:t>
      </w:r>
      <m:oMath>
        <m:sSub>
          <m:e>
            <m:r>
              <m:rPr>
                <m:sty m:val="p"/>
              </m:rPr>
              <w:rPr>
                <w:rFonts w:ascii="Cambria Math" w:hAnsi="Cambria Math" w:cs="Cambria Math" w:eastAsia="Cambria Math"/>
              </w:rPr>
              <m:t>S</m:t>
            </m:r>
          </m:e>
          <m:sub>
            <m:r>
              <m:rPr>
                <m:sty m:val="p"/>
              </m:rPr>
              <w:rPr>
                <w:rFonts w:ascii="Cambria Math" w:hAnsi="Cambria Math" w:cs="Cambria Math" w:eastAsia="Cambria Math"/>
              </w:rPr>
              <m:t>t</m:t>
            </m:r>
          </m:sub>
        </m:sSub>
      </m:oMath>
      <w:r>
        <w:rPr>
          <w:rFonts w:ascii="宋体" w:hAnsi="宋体" w:eastAsia="宋体"/>
          <w:sz w:val="21"/>
        </w:rPr>
        <w:t>。</w:t>
      </w:r>
    </w:p>
    <w:p>
      <w:pPr>
        <w:pStyle w:val="ListBullet"/>
        <w:spacing w:after="60"/>
      </w:pPr>
      <w:r>
        <w:rPr>
          <w:rFonts w:ascii="宋体" w:hAnsi="宋体" w:eastAsia="宋体"/>
          <w:b/>
          <w:sz w:val="21"/>
        </w:rPr>
        <w:t>步骤 S10：金丝雀健康准入判决</w:t>
      </w:r>
      <w:r>
        <w:rPr>
          <w:rFonts w:ascii="宋体" w:hAnsi="宋体" w:eastAsia="宋体"/>
          <w:sz w:val="21"/>
        </w:rPr>
        <w:t xml:space="preserve">：判断健康度评分 </w:t>
      </w:r>
      <m:oMath>
        <m:sSub>
          <m:e>
            <m:r>
              <m:rPr>
                <m:sty m:val="p"/>
              </m:rPr>
              <w:rPr>
                <w:rFonts w:ascii="Cambria Math" w:hAnsi="Cambria Math" w:cs="Cambria Math" w:eastAsia="Cambria Math"/>
              </w:rPr>
              <m:t>S</m:t>
            </m:r>
          </m:e>
          <m:sub>
            <m:r>
              <m:rPr>
                <m:sty m:val="p"/>
              </m:rPr>
              <w:rPr>
                <w:rFonts w:ascii="Cambria Math" w:hAnsi="Cambria Math" w:cs="Cambria Math" w:eastAsia="Cambria Math"/>
              </w:rPr>
              <m:t>t</m:t>
            </m:r>
          </m:sub>
        </m:sSub>
      </m:oMath>
      <w:r>
        <w:rPr>
          <w:rFonts w:ascii="宋体" w:hAnsi="宋体" w:eastAsia="宋体"/>
          <w:sz w:val="21"/>
        </w:rPr>
        <w:t xml:space="preserve"> 是否达到放行准入阈值 </w:t>
      </w:r>
      <m:oMath>
        <m:sSub>
          <m:e>
            <m:r>
              <m:rPr>
                <m:sty m:val="p"/>
              </m:rPr>
              <w:rPr>
                <w:rFonts w:ascii="Cambria Math" w:hAnsi="Cambria Math" w:cs="Cambria Math" w:eastAsia="Cambria Math"/>
              </w:rPr>
              <m:t>τ</m:t>
            </m:r>
          </m:e>
          <m:sub>
            <m:r>
              <m:rPr>
                <m:sty m:val="p"/>
              </m:rPr>
              <w:rPr>
                <w:rFonts w:ascii="Cambria Math" w:hAnsi="Cambria Math" w:cs="Cambria Math" w:eastAsia="Cambria Math"/>
              </w:rPr>
              <m:t>p</m:t>
            </m:r>
            <m:r>
              <m:rPr>
                <m:sty m:val="p"/>
              </m:rPr>
              <w:rPr>
                <w:rFonts w:ascii="Cambria Math" w:hAnsi="Cambria Math" w:cs="Cambria Math" w:eastAsia="Cambria Math"/>
              </w:rPr>
              <m:t>a</m:t>
            </m:r>
            <m:r>
              <m:rPr>
                <m:sty m:val="p"/>
              </m:rPr>
              <w:rPr>
                <w:rFonts w:ascii="Cambria Math" w:hAnsi="Cambria Math" w:cs="Cambria Math" w:eastAsia="Cambria Math"/>
              </w:rPr>
              <m:t>s</m:t>
            </m:r>
            <m:r>
              <m:rPr>
                <m:sty m:val="p"/>
              </m:rPr>
              <w:rPr>
                <w:rFonts w:ascii="Cambria Math" w:hAnsi="Cambria Math" w:cs="Cambria Math" w:eastAsia="Cambria Math"/>
              </w:rPr>
              <m:t>s</m:t>
            </m:r>
          </m:sub>
        </m:sSub>
      </m:oMath>
      <w:r>
        <w:rPr>
          <w:rFonts w:ascii="宋体" w:hAnsi="宋体" w:eastAsia="宋体"/>
          <w:sz w:val="21"/>
        </w:rPr>
        <w:t xml:space="preserve">。若 </w:t>
      </w:r>
      <m:oMath>
        <m:sSub>
          <m:e>
            <m:r>
              <m:rPr>
                <m:sty m:val="p"/>
              </m:rPr>
              <w:rPr>
                <w:rFonts w:ascii="Cambria Math" w:hAnsi="Cambria Math" w:cs="Cambria Math" w:eastAsia="Cambria Math"/>
              </w:rPr>
              <m:t>S</m:t>
            </m:r>
          </m:e>
          <m:sub>
            <m:r>
              <m:rPr>
                <m:sty m:val="p"/>
              </m:rPr>
              <w:rPr>
                <w:rFonts w:ascii="Cambria Math" w:hAnsi="Cambria Math" w:cs="Cambria Math" w:eastAsia="Cambria Math"/>
              </w:rPr>
              <m:t>t</m:t>
            </m:r>
          </m:sub>
        </m:sSub>
      </m:oMath>
      <w:r>
        <w:rPr>
          <w:rFonts w:ascii="宋体" w:hAnsi="宋体" w:eastAsia="宋体"/>
          <w:sz w:val="21"/>
        </w:rPr>
        <w:t xml:space="preserve"> 低于回滚阈值 </w:t>
      </w:r>
      <m:oMath>
        <m:sSub>
          <m:e>
            <m:r>
              <m:rPr>
                <m:sty m:val="p"/>
              </m:rPr>
              <w:rPr>
                <w:rFonts w:ascii="Cambria Math" w:hAnsi="Cambria Math" w:cs="Cambria Math" w:eastAsia="Cambria Math"/>
              </w:rPr>
              <m:t>τ</m:t>
            </m:r>
          </m:e>
          <m:sub>
            <m:r>
              <m:rPr>
                <m:sty m:val="p"/>
              </m:rPr>
              <w:rPr>
                <w:rFonts w:ascii="Cambria Math" w:hAnsi="Cambria Math" w:cs="Cambria Math" w:eastAsia="Cambria Math"/>
              </w:rPr>
              <m:t>r</m:t>
            </m:r>
            <m:r>
              <m:rPr>
                <m:sty m:val="p"/>
              </m:rPr>
              <w:rPr>
                <w:rFonts w:ascii="Cambria Math" w:hAnsi="Cambria Math" w:cs="Cambria Math" w:eastAsia="Cambria Math"/>
              </w:rPr>
              <m:t>o</m:t>
            </m:r>
            <m:r>
              <m:rPr>
                <m:sty m:val="p"/>
              </m:rPr>
              <w:rPr>
                <w:rFonts w:ascii="Cambria Math" w:hAnsi="Cambria Math" w:cs="Cambria Math" w:eastAsia="Cambria Math"/>
              </w:rPr>
              <m:t>l</m:t>
            </m:r>
            <m:r>
              <m:rPr>
                <m:sty m:val="p"/>
              </m:rPr>
              <w:rPr>
                <w:rFonts w:ascii="Cambria Math" w:hAnsi="Cambria Math" w:cs="Cambria Math" w:eastAsia="Cambria Math"/>
              </w:rPr>
              <m:t>l</m:t>
            </m:r>
            <m:r>
              <m:rPr>
                <m:sty m:val="p"/>
              </m:rPr>
              <w:rPr>
                <w:rFonts w:ascii="Cambria Math" w:hAnsi="Cambria Math" w:cs="Cambria Math" w:eastAsia="Cambria Math"/>
              </w:rPr>
              <m:t>b</m:t>
            </m:r>
            <m:r>
              <m:rPr>
                <m:sty m:val="p"/>
              </m:rPr>
              <w:rPr>
                <w:rFonts w:ascii="Cambria Math" w:hAnsi="Cambria Math" w:cs="Cambria Math" w:eastAsia="Cambria Math"/>
              </w:rPr>
              <m:t>a</m:t>
            </m:r>
            <m:r>
              <m:rPr>
                <m:sty m:val="p"/>
              </m:rPr>
              <w:rPr>
                <w:rFonts w:ascii="Cambria Math" w:hAnsi="Cambria Math" w:cs="Cambria Math" w:eastAsia="Cambria Math"/>
              </w:rPr>
              <m:t>c</m:t>
            </m:r>
            <m:r>
              <m:rPr>
                <m:sty m:val="p"/>
              </m:rPr>
              <w:rPr>
                <w:rFonts w:ascii="Cambria Math" w:hAnsi="Cambria Math" w:cs="Cambria Math" w:eastAsia="Cambria Math"/>
              </w:rPr>
              <m:t>k</m:t>
            </m:r>
          </m:sub>
        </m:sSub>
      </m:oMath>
      <w:r>
        <w:rPr>
          <w:rFonts w:ascii="宋体" w:hAnsi="宋体" w:eastAsia="宋体"/>
          <w:sz w:val="21"/>
        </w:rPr>
        <w:t xml:space="preserve">（指示自愈操作不仅未见效反而引起更严重的性能劣变），则立即执行步骤 S11；若 </w:t>
      </w:r>
      <m:oMath>
        <m:sSub>
          <m:e>
            <m:r>
              <m:rPr>
                <m:sty m:val="p"/>
              </m:rPr>
              <w:rPr>
                <w:rFonts w:ascii="Cambria Math" w:hAnsi="Cambria Math" w:cs="Cambria Math" w:eastAsia="Cambria Math"/>
              </w:rPr>
              <m:t>S</m:t>
            </m:r>
          </m:e>
          <m:sub>
            <m:r>
              <m:rPr>
                <m:sty m:val="p"/>
              </m:rPr>
              <w:rPr>
                <w:rFonts w:ascii="Cambria Math" w:hAnsi="Cambria Math" w:cs="Cambria Math" w:eastAsia="Cambria Math"/>
              </w:rPr>
              <m:t>t</m:t>
            </m:r>
          </m:sub>
        </m:sSub>
        <m:r>
          <m:rPr>
            <m:sty m:val="p"/>
          </m:rPr>
          <w:rPr>
            <w:rFonts w:ascii="Cambria Math" w:hAnsi="Cambria Math" w:cs="Cambria Math" w:eastAsia="Cambria Math"/>
          </w:rPr>
          <m:t>≥</m:t>
        </m:r>
        <m:sSub>
          <m:e>
            <m:r>
              <m:rPr>
                <m:sty m:val="p"/>
              </m:rPr>
              <w:rPr>
                <w:rFonts w:ascii="Cambria Math" w:hAnsi="Cambria Math" w:cs="Cambria Math" w:eastAsia="Cambria Math"/>
              </w:rPr>
              <m:t>τ</m:t>
            </m:r>
          </m:e>
          <m:sub>
            <m:r>
              <m:rPr>
                <m:sty m:val="p"/>
              </m:rPr>
              <w:rPr>
                <w:rFonts w:ascii="Cambria Math" w:hAnsi="Cambria Math" w:cs="Cambria Math" w:eastAsia="Cambria Math"/>
              </w:rPr>
              <m:t>p</m:t>
            </m:r>
            <m:r>
              <m:rPr>
                <m:sty m:val="p"/>
              </m:rPr>
              <w:rPr>
                <w:rFonts w:ascii="Cambria Math" w:hAnsi="Cambria Math" w:cs="Cambria Math" w:eastAsia="Cambria Math"/>
              </w:rPr>
              <m:t>a</m:t>
            </m:r>
            <m:r>
              <m:rPr>
                <m:sty m:val="p"/>
              </m:rPr>
              <w:rPr>
                <w:rFonts w:ascii="Cambria Math" w:hAnsi="Cambria Math" w:cs="Cambria Math" w:eastAsia="Cambria Math"/>
              </w:rPr>
              <m:t>s</m:t>
            </m:r>
            <m:r>
              <m:rPr>
                <m:sty m:val="p"/>
              </m:rPr>
              <w:rPr>
                <w:rFonts w:ascii="Cambria Math" w:hAnsi="Cambria Math" w:cs="Cambria Math" w:eastAsia="Cambria Math"/>
              </w:rPr>
              <m:t>s</m:t>
            </m:r>
          </m:sub>
        </m:sSub>
      </m:oMath>
      <w:r>
        <w:rPr>
          <w:rFonts w:ascii="宋体" w:hAnsi="宋体" w:eastAsia="宋体"/>
          <w:sz w:val="21"/>
        </w:rPr>
        <w:t>，则进入步骤 S12。</w:t>
      </w:r>
    </w:p>
    <w:p>
      <w:pPr>
        <w:pStyle w:val="ListBullet"/>
        <w:spacing w:after="60"/>
      </w:pPr>
      <w:r>
        <w:rPr>
          <w:rFonts w:ascii="宋体" w:hAnsi="宋体" w:eastAsia="宋体"/>
          <w:b/>
          <w:sz w:val="21"/>
        </w:rPr>
        <w:t>步骤 S11：安全熔断与秒级原子回滚</w:t>
      </w:r>
      <w:r>
        <w:rPr>
          <w:rFonts w:ascii="宋体" w:hAnsi="宋体" w:eastAsia="宋体"/>
          <w:sz w:val="21"/>
        </w:rPr>
        <w:t>：切断指向沙箱 Pod 的全部流量路由，调用步骤 S6 预置的反向补偿操作链，恢复原始配置快照并销毁沙箱 Pod，记录自愈失败日志并转人工介入。</w:t>
      </w:r>
    </w:p>
    <w:p>
      <w:pPr>
        <w:pStyle w:val="ListBullet"/>
        <w:spacing w:after="60"/>
      </w:pPr>
      <w:r>
        <w:rPr>
          <w:rFonts w:ascii="宋体" w:hAnsi="宋体" w:eastAsia="宋体"/>
          <w:b/>
          <w:sz w:val="21"/>
        </w:rPr>
        <w:t>步骤 S12：自适应阶梯式流量放行</w:t>
      </w:r>
      <w:r>
        <w:rPr>
          <w:rFonts w:ascii="宋体" w:hAnsi="宋体" w:eastAsia="宋体"/>
          <w:sz w:val="21"/>
        </w:rPr>
        <w:t>：根据健康度余量自适应计算下一轮放行增量步长，驱动 Service Mesh 逐步提升自愈服务副本的流量权重（例如由 5% 递增至 20%、50% 等）。</w:t>
      </w:r>
    </w:p>
    <w:p>
      <w:pPr>
        <w:pStyle w:val="ListBullet"/>
        <w:spacing w:after="60"/>
      </w:pPr>
      <w:r>
        <w:rPr>
          <w:rFonts w:ascii="宋体" w:hAnsi="宋体" w:eastAsia="宋体"/>
          <w:b/>
          <w:sz w:val="21"/>
        </w:rPr>
        <w:t>步骤 S13：放行终止判定</w:t>
      </w:r>
      <w:r>
        <w:rPr>
          <w:rFonts w:ascii="宋体" w:hAnsi="宋体" w:eastAsia="宋体"/>
          <w:sz w:val="21"/>
        </w:rPr>
        <w:t>：判定当前放行比例是否已达到 100%。若未达到，返回步骤 S9 继续对扩增后的流量进行下一周期健康度监测；若达到 100%，进入步骤 S14。</w:t>
      </w:r>
    </w:p>
    <w:p>
      <w:pPr>
        <w:pStyle w:val="ListBullet"/>
        <w:spacing w:after="60"/>
      </w:pPr>
      <w:r>
        <w:rPr>
          <w:rFonts w:ascii="宋体" w:hAnsi="宋体" w:eastAsia="宋体"/>
          <w:b/>
          <w:sz w:val="21"/>
        </w:rPr>
        <w:t>步骤 S14：闭环固化与资源清理</w:t>
      </w:r>
      <w:r>
        <w:rPr>
          <w:rFonts w:ascii="宋体" w:hAnsi="宋体" w:eastAsia="宋体"/>
          <w:sz w:val="21"/>
        </w:rPr>
        <w:t>：将自愈后的稳定配置正式写入生产配置中心，优雅下线临时沙箱实例，将成功自愈案例沉淀入运维知识库，完成线上自治全闭环。</w:t>
      </w:r>
    </w:p>
    <w:p>
      <w:pPr>
        <w:pStyle w:val="Heading3"/>
      </w:pPr>
      <w:r>
        <w:rPr>
          <w:rFonts w:ascii="宋体" w:hAnsi="宋体" w:eastAsia="宋体"/>
        </w:rPr>
        <w:t>3.4.1 符号与公式</w:t>
      </w:r>
    </w:p>
    <w:p>
      <w:pPr>
        <w:spacing w:after="120" w:line="276" w:lineRule="auto"/>
      </w:pPr>
      <w:r>
        <w:rPr>
          <w:rFonts w:ascii="宋体" w:hAnsi="宋体" w:eastAsia="宋体"/>
          <w:sz w:val="21"/>
        </w:rPr>
        <w:t>为保证双智能体安全决策与自适应放行过程的客观性、可复现性与形式化执行，方案设计了以下数学计算模型。</w:t>
      </w:r>
    </w:p>
    <w:p>
      <w:pPr>
        <w:pStyle w:val="Heading4"/>
      </w:pPr>
      <w:r>
        <w:rPr>
          <w:rFonts w:ascii="宋体" w:hAnsi="宋体" w:eastAsia="宋体"/>
        </w:rPr>
        <w:t>（1）自愈操作与拓扑特征符号表</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宋体" w:hAnsi="宋体" w:eastAsia="宋体"/>
                <w:sz w:val="20"/>
              </w:rPr>
            </w:r>
            <w:r>
              <w:rPr>
                <w:rFonts w:ascii="宋体" w:hAnsi="宋体" w:eastAsia="宋体"/>
                <w:sz w:val="20"/>
              </w:rPr>
              <w:t>符号</w:t>
            </w:r>
          </w:p>
        </w:tc>
        <w:tc>
          <w:tcPr>
            <w:tcW w:type="dxa" w:w="2160"/>
          </w:tcPr>
          <w:p>
            <w:r>
              <w:rPr>
                <w:rFonts w:ascii="宋体" w:hAnsi="宋体" w:eastAsia="宋体"/>
                <w:sz w:val="20"/>
              </w:rPr>
            </w:r>
            <w:r>
              <w:rPr>
                <w:rFonts w:ascii="宋体" w:hAnsi="宋体" w:eastAsia="宋体"/>
                <w:sz w:val="20"/>
              </w:rPr>
              <w:t>含义</w:t>
            </w:r>
          </w:p>
        </w:tc>
        <w:tc>
          <w:tcPr>
            <w:tcW w:type="dxa" w:w="2160"/>
          </w:tcPr>
          <w:p>
            <w:r>
              <w:rPr>
                <w:rFonts w:ascii="宋体" w:hAnsi="宋体" w:eastAsia="宋体"/>
                <w:sz w:val="20"/>
              </w:rPr>
            </w:r>
            <w:r>
              <w:rPr>
                <w:rFonts w:ascii="宋体" w:hAnsi="宋体" w:eastAsia="宋体"/>
                <w:sz w:val="20"/>
              </w:rPr>
              <w:t>下标/量纲</w:t>
            </w:r>
          </w:p>
        </w:tc>
        <w:tc>
          <w:tcPr>
            <w:tcW w:type="dxa" w:w="2160"/>
          </w:tcPr>
          <w:p>
            <w:r>
              <w:rPr>
                <w:rFonts w:ascii="宋体" w:hAnsi="宋体" w:eastAsia="宋体"/>
                <w:sz w:val="20"/>
              </w:rPr>
            </w:r>
            <w:r>
              <w:rPr>
                <w:rFonts w:ascii="宋体" w:hAnsi="宋体" w:eastAsia="宋体"/>
                <w:sz w:val="20"/>
              </w:rPr>
              <w:t>取值范围</w:t>
            </w:r>
          </w:p>
        </w:tc>
      </w:tr>
      <w:tr>
        <w:tc>
          <w:tcPr>
            <w:tcW w:type="dxa" w:w="2160"/>
          </w:tcPr>
          <w:p>
            <w:r>
              <w:rPr>
                <w:rFonts w:ascii="宋体" w:hAnsi="宋体" w:eastAsia="宋体"/>
                <w:sz w:val="20"/>
              </w:rPr>
            </w:r>
            <m:oMath>
              <m:r>
                <m:rPr>
                  <m:sty m:val="p"/>
                </m:rPr>
                <w:rPr>
                  <w:rFonts w:ascii="Cambria Math" w:hAnsi="Cambria Math" w:cs="Cambria Math" w:eastAsia="Cambria Math"/>
                </w:rPr>
                <m:t>k</m:t>
              </m:r>
            </m:oMath>
          </w:p>
        </w:tc>
        <w:tc>
          <w:tcPr>
            <w:tcW w:type="dxa" w:w="2160"/>
          </w:tcPr>
          <w:p>
            <w:r>
              <w:rPr>
                <w:rFonts w:ascii="宋体" w:hAnsi="宋体" w:eastAsia="宋体"/>
                <w:sz w:val="20"/>
              </w:rPr>
            </w:r>
            <w:r>
              <w:rPr>
                <w:rFonts w:ascii="宋体" w:hAnsi="宋体" w:eastAsia="宋体"/>
                <w:sz w:val="20"/>
              </w:rPr>
              <w:t>候选自愈操作动作序号</w:t>
            </w:r>
          </w:p>
        </w:tc>
        <w:tc>
          <w:tcPr>
            <w:tcW w:type="dxa" w:w="2160"/>
          </w:tcPr>
          <w:p>
            <w:r>
              <w:rPr>
                <w:rFonts w:ascii="宋体" w:hAnsi="宋体" w:eastAsia="宋体"/>
                <w:sz w:val="20"/>
              </w:rPr>
            </w:r>
            <m:oMath>
              <m:r>
                <m:rPr>
                  <m:sty m:val="p"/>
                </m:rPr>
                <w:rPr>
                  <w:rFonts w:ascii="Cambria Math" w:hAnsi="Cambria Math" w:cs="Cambria Math" w:eastAsia="Cambria Math"/>
                </w:rPr>
                <m:t>k</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K</m:t>
              </m:r>
            </m:oMath>
          </w:p>
        </w:tc>
        <w:tc>
          <w:tcPr>
            <w:tcW w:type="dxa" w:w="2160"/>
          </w:tcPr>
          <w:p>
            <w:r>
              <w:rPr>
                <w:rFonts w:ascii="宋体" w:hAnsi="宋体" w:eastAsia="宋体"/>
                <w:sz w:val="20"/>
              </w:rPr>
            </w:r>
            <w:r>
              <w:rPr>
                <w:rFonts w:ascii="宋体" w:hAnsi="宋体" w:eastAsia="宋体"/>
                <w:sz w:val="20"/>
              </w:rPr>
              <w:t>正整数</w:t>
            </w:r>
          </w:p>
        </w:tc>
      </w:tr>
      <w:tr>
        <w:tc>
          <w:tcPr>
            <w:tcW w:type="dxa" w:w="2160"/>
          </w:tcPr>
          <w:p>
            <w:r>
              <w:rPr>
                <w:rFonts w:ascii="宋体" w:hAnsi="宋体" w:eastAsia="宋体"/>
                <w:sz w:val="20"/>
              </w:rPr>
            </w:r>
            <m:oMath>
              <m:sSub>
                <m:e>
                  <m:r>
                    <m:rPr>
                      <m:sty m:val="p"/>
                    </m:rPr>
                    <w:rPr>
                      <w:rFonts w:ascii="Cambria Math" w:hAnsi="Cambria Math" w:cs="Cambria Math" w:eastAsia="Cambria Math"/>
                    </w:rPr>
                    <m:t>B</m:t>
                  </m:r>
                </m:e>
                <m:sub>
                  <m:r>
                    <m:rPr>
                      <m:sty m:val="p"/>
                    </m:rPr>
                    <w:rPr>
                      <w:rFonts w:ascii="Cambria Math" w:hAnsi="Cambria Math" w:cs="Cambria Math" w:eastAsia="Cambria Math"/>
                    </w:rPr>
                    <m:t>k</m:t>
                  </m:r>
                </m:sub>
              </m:sSub>
            </m:oMath>
          </w:p>
        </w:tc>
        <w:tc>
          <w:tcPr>
            <w:tcW w:type="dxa" w:w="2160"/>
          </w:tcPr>
          <w:p>
            <w:r>
              <w:rPr>
                <w:rFonts w:ascii="宋体" w:hAnsi="宋体" w:eastAsia="宋体"/>
                <w:sz w:val="20"/>
              </w:rPr>
            </w:r>
            <w:r>
              <w:rPr>
                <w:rFonts w:ascii="宋体" w:hAnsi="宋体" w:eastAsia="宋体"/>
                <w:sz w:val="20"/>
              </w:rPr>
              <w:t xml:space="preserve">候选自愈操作动作 </w:t>
            </w:r>
            <m:oMath>
              <m:r>
                <m:rPr>
                  <m:sty m:val="p"/>
                </m:rPr>
                <w:rPr>
                  <w:rFonts w:ascii="Cambria Math" w:hAnsi="Cambria Math" w:cs="Cambria Math" w:eastAsia="Cambria Math"/>
                </w:rPr>
                <m:t>k</m:t>
              </m:r>
            </m:oMath>
            <w:r>
              <w:rPr>
                <w:rFonts w:ascii="宋体" w:hAnsi="宋体" w:eastAsia="宋体"/>
                <w:sz w:val="20"/>
              </w:rPr>
              <w:t xml:space="preserve"> 的综合爆炸半径风险评分</w:t>
            </w:r>
          </w:p>
        </w:tc>
        <w:tc>
          <w:tcPr>
            <w:tcW w:type="dxa" w:w="2160"/>
          </w:tcPr>
          <w:p>
            <w:r>
              <w:rPr>
                <w:rFonts w:ascii="宋体" w:hAnsi="宋体" w:eastAsia="宋体"/>
                <w:sz w:val="20"/>
              </w:rPr>
            </w:r>
            <w:r>
              <w:rPr>
                <w:rFonts w:ascii="宋体" w:hAnsi="宋体" w:eastAsia="宋体"/>
                <w:sz w:val="20"/>
              </w:rPr>
              <w:t>无量纲</w:t>
            </w:r>
          </w:p>
        </w:tc>
        <w:tc>
          <w:tcPr>
            <w:tcW w:type="dxa" w:w="2160"/>
          </w:tcPr>
          <w:p>
            <w:r>
              <w:rPr>
                <w:rFonts w:ascii="宋体" w:hAnsi="宋体" w:eastAsia="宋体"/>
                <w:sz w:val="20"/>
              </w:rPr>
            </w:r>
            <m:oMath>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r>
      <w:tr>
        <w:tc>
          <w:tcPr>
            <w:tcW w:type="dxa" w:w="2160"/>
          </w:tcPr>
          <w:p>
            <w:r>
              <w:rPr>
                <w:rFonts w:ascii="宋体" w:hAnsi="宋体" w:eastAsia="宋体"/>
                <w:sz w:val="20"/>
              </w:rPr>
            </w:r>
            <m:oMath>
              <m:sSubSup>
                <m:e>
                  <m:r>
                    <m:rPr>
                      <m:sty m:val="p"/>
                    </m:rPr>
                    <w:rPr>
                      <w:rFonts w:ascii="Cambria Math" w:hAnsi="Cambria Math" w:cs="Cambria Math" w:eastAsia="Cambria Math"/>
                    </w:rPr>
                    <m:t>F</m:t>
                  </m:r>
                </m:e>
                <m:sub>
                  <m:r>
                    <m:rPr>
                      <m:sty m:val="p"/>
                    </m:rPr>
                    <w:rPr>
                      <w:rFonts w:ascii="Cambria Math" w:hAnsi="Cambria Math" w:cs="Cambria Math" w:eastAsia="Cambria Math"/>
                    </w:rPr>
                    <m:t>k</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oMath>
          </w:p>
        </w:tc>
        <w:tc>
          <w:tcPr>
            <w:tcW w:type="dxa" w:w="2160"/>
          </w:tcPr>
          <w:p>
            <w:r>
              <w:rPr>
                <w:rFonts w:ascii="宋体" w:hAnsi="宋体" w:eastAsia="宋体"/>
                <w:sz w:val="20"/>
              </w:rPr>
            </w:r>
            <w:r>
              <w:rPr>
                <w:rFonts w:ascii="宋体" w:hAnsi="宋体" w:eastAsia="宋体"/>
                <w:sz w:val="20"/>
              </w:rPr>
              <w:t xml:space="preserve">操作动作 </w:t>
            </w:r>
            <m:oMath>
              <m:r>
                <m:rPr>
                  <m:sty m:val="p"/>
                </m:rPr>
                <w:rPr>
                  <w:rFonts w:ascii="Cambria Math" w:hAnsi="Cambria Math" w:cs="Cambria Math" w:eastAsia="Cambria Math"/>
                </w:rPr>
                <m:t>k</m:t>
              </m:r>
            </m:oMath>
            <w:r>
              <w:rPr>
                <w:rFonts w:ascii="宋体" w:hAnsi="宋体" w:eastAsia="宋体"/>
                <w:sz w:val="20"/>
              </w:rPr>
              <w:t xml:space="preserve"> 在微服务依赖拓扑中的归一化扇出传播深度</w:t>
            </w:r>
          </w:p>
        </w:tc>
        <w:tc>
          <w:tcPr>
            <w:tcW w:type="dxa" w:w="2160"/>
          </w:tcPr>
          <w:p>
            <w:r>
              <w:rPr>
                <w:rFonts w:ascii="宋体" w:hAnsi="宋体" w:eastAsia="宋体"/>
                <w:sz w:val="20"/>
              </w:rPr>
            </w:r>
            <w:r>
              <w:rPr>
                <w:rFonts w:ascii="宋体" w:hAnsi="宋体" w:eastAsia="宋体"/>
                <w:sz w:val="20"/>
              </w:rPr>
              <w:t>无量纲</w:t>
            </w:r>
          </w:p>
        </w:tc>
        <w:tc>
          <w:tcPr>
            <w:tcW w:type="dxa" w:w="2160"/>
          </w:tcPr>
          <w:p>
            <w:r>
              <w:rPr>
                <w:rFonts w:ascii="宋体" w:hAnsi="宋体" w:eastAsia="宋体"/>
                <w:sz w:val="20"/>
              </w:rPr>
            </w:r>
            <m:oMath>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r>
      <w:tr>
        <w:tc>
          <w:tcPr>
            <w:tcW w:type="dxa" w:w="2160"/>
          </w:tcPr>
          <w:p>
            <w:r>
              <w:rPr>
                <w:rFonts w:ascii="宋体" w:hAnsi="宋体" w:eastAsia="宋体"/>
                <w:sz w:val="20"/>
              </w:rPr>
            </w:r>
            <m:oMath>
              <m:sSubSup>
                <m:e>
                  <m:r>
                    <m:rPr>
                      <m:sty m:val="p"/>
                    </m:rPr>
                    <w:rPr>
                      <w:rFonts w:ascii="Cambria Math" w:hAnsi="Cambria Math" w:cs="Cambria Math" w:eastAsia="Cambria Math"/>
                    </w:rPr>
                    <m:t>W</m:t>
                  </m:r>
                </m:e>
                <m:sub>
                  <m:r>
                    <m:rPr>
                      <m:sty m:val="p"/>
                    </m:rPr>
                    <w:rPr>
                      <w:rFonts w:ascii="Cambria Math" w:hAnsi="Cambria Math" w:cs="Cambria Math" w:eastAsia="Cambria Math"/>
                    </w:rPr>
                    <m:t>k</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oMath>
          </w:p>
        </w:tc>
        <w:tc>
          <w:tcPr>
            <w:tcW w:type="dxa" w:w="2160"/>
          </w:tcPr>
          <w:p>
            <w:r>
              <w:rPr>
                <w:rFonts w:ascii="宋体" w:hAnsi="宋体" w:eastAsia="宋体"/>
                <w:sz w:val="20"/>
              </w:rPr>
            </w:r>
            <w:r>
              <w:rPr>
                <w:rFonts w:ascii="宋体" w:hAnsi="宋体" w:eastAsia="宋体"/>
                <w:sz w:val="20"/>
              </w:rPr>
              <w:t xml:space="preserve">操作动作 </w:t>
            </w:r>
            <m:oMath>
              <m:r>
                <m:rPr>
                  <m:sty m:val="p"/>
                </m:rPr>
                <w:rPr>
                  <w:rFonts w:ascii="Cambria Math" w:hAnsi="Cambria Math" w:cs="Cambria Math" w:eastAsia="Cambria Math"/>
                </w:rPr>
                <m:t>k</m:t>
              </m:r>
            </m:oMath>
            <w:r>
              <w:rPr>
                <w:rFonts w:ascii="宋体" w:hAnsi="宋体" w:eastAsia="宋体"/>
                <w:sz w:val="20"/>
              </w:rPr>
              <w:t xml:space="preserve"> 的资源破坏性敏感度归一化权重</w:t>
            </w:r>
          </w:p>
        </w:tc>
        <w:tc>
          <w:tcPr>
            <w:tcW w:type="dxa" w:w="2160"/>
          </w:tcPr>
          <w:p>
            <w:r>
              <w:rPr>
                <w:rFonts w:ascii="宋体" w:hAnsi="宋体" w:eastAsia="宋体"/>
                <w:sz w:val="20"/>
              </w:rPr>
            </w:r>
            <w:r>
              <w:rPr>
                <w:rFonts w:ascii="宋体" w:hAnsi="宋体" w:eastAsia="宋体"/>
                <w:sz w:val="20"/>
              </w:rPr>
              <w:t>无量纲</w:t>
            </w:r>
          </w:p>
        </w:tc>
        <w:tc>
          <w:tcPr>
            <w:tcW w:type="dxa" w:w="2160"/>
          </w:tcPr>
          <w:p>
            <w:r>
              <w:rPr>
                <w:rFonts w:ascii="宋体" w:hAnsi="宋体" w:eastAsia="宋体"/>
                <w:sz w:val="20"/>
              </w:rPr>
            </w:r>
            <m:oMath>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r>
      <w:tr>
        <w:tc>
          <w:tcPr>
            <w:tcW w:type="dxa" w:w="2160"/>
          </w:tcPr>
          <w:p>
            <w:r>
              <w:rPr>
                <w:rFonts w:ascii="宋体" w:hAnsi="宋体" w:eastAsia="宋体"/>
                <w:sz w:val="20"/>
              </w:rPr>
            </w:r>
            <m:oMath>
              <m:sSubSup>
                <m:e>
                  <m:r>
                    <m:rPr>
                      <m:sty m:val="p"/>
                    </m:rPr>
                    <w:rPr>
                      <w:rFonts w:ascii="Cambria Math" w:hAnsi="Cambria Math" w:cs="Cambria Math" w:eastAsia="Cambria Math"/>
                    </w:rPr>
                    <m:t>I</m:t>
                  </m:r>
                </m:e>
                <m:sub>
                  <m:r>
                    <m:rPr>
                      <m:sty m:val="p"/>
                    </m:rPr>
                    <w:rPr>
                      <w:rFonts w:ascii="Cambria Math" w:hAnsi="Cambria Math" w:cs="Cambria Math" w:eastAsia="Cambria Math"/>
                    </w:rPr>
                    <m:t>k</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oMath>
          </w:p>
        </w:tc>
        <w:tc>
          <w:tcPr>
            <w:tcW w:type="dxa" w:w="2160"/>
          </w:tcPr>
          <w:p>
            <w:r>
              <w:rPr>
                <w:rFonts w:ascii="宋体" w:hAnsi="宋体" w:eastAsia="宋体"/>
                <w:sz w:val="20"/>
              </w:rPr>
            </w:r>
            <w:r>
              <w:rPr>
                <w:rFonts w:ascii="宋体" w:hAnsi="宋体" w:eastAsia="宋体"/>
                <w:sz w:val="20"/>
              </w:rPr>
              <w:t>受影响下游微服务节点的最高业务重要性等级归一化值</w:t>
            </w:r>
          </w:p>
        </w:tc>
        <w:tc>
          <w:tcPr>
            <w:tcW w:type="dxa" w:w="2160"/>
          </w:tcPr>
          <w:p>
            <w:r>
              <w:rPr>
                <w:rFonts w:ascii="宋体" w:hAnsi="宋体" w:eastAsia="宋体"/>
                <w:sz w:val="20"/>
              </w:rPr>
            </w:r>
            <w:r>
              <w:rPr>
                <w:rFonts w:ascii="宋体" w:hAnsi="宋体" w:eastAsia="宋体"/>
                <w:sz w:val="20"/>
              </w:rPr>
              <w:t>无量纲</w:t>
            </w:r>
          </w:p>
        </w:tc>
        <w:tc>
          <w:tcPr>
            <w:tcW w:type="dxa" w:w="2160"/>
          </w:tcPr>
          <w:p>
            <w:r>
              <w:rPr>
                <w:rFonts w:ascii="宋体" w:hAnsi="宋体" w:eastAsia="宋体"/>
                <w:sz w:val="20"/>
              </w:rPr>
            </w:r>
            <m:oMath>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r>
      <w:tr>
        <w:tc>
          <w:tcPr>
            <w:tcW w:type="dxa" w:w="2160"/>
          </w:tcPr>
          <w:p>
            <w:r>
              <w:rPr>
                <w:rFonts w:ascii="宋体" w:hAnsi="宋体" w:eastAsia="宋体"/>
                <w:sz w:val="20"/>
              </w:rPr>
            </w:r>
            <m:oMath>
              <m:sSub>
                <m:e>
                  <m:r>
                    <m:rPr>
                      <m:sty m:val="p"/>
                    </m:rPr>
                    <w:rPr>
                      <w:rFonts w:ascii="Cambria Math" w:hAnsi="Cambria Math" w:cs="Cambria Math" w:eastAsia="Cambria Math"/>
                    </w:rPr>
                    <m:t>w</m:t>
                  </m:r>
                </m:e>
                <m:sub>
                  <m:r>
                    <m:rPr>
                      <m:sty m:val="p"/>
                    </m:rPr>
                    <w:rPr>
                      <w:rFonts w:ascii="Cambria Math" w:hAnsi="Cambria Math" w:cs="Cambria Math" w:eastAsia="Cambria Math"/>
                    </w:rPr>
                    <m:t>1</m:t>
                  </m:r>
                </m:sub>
              </m:sSub>
              <m:r>
                <m:rPr>
                  <m:sty m:val="p"/>
                </m:rPr>
                <w:rPr>
                  <w:rFonts w:ascii="Cambria Math" w:hAnsi="Cambria Math" w:cs="Cambria Math" w:eastAsia="Cambria Math"/>
                </w:rPr>
                <m:t>,</m:t>
              </m:r>
              <m:sSub>
                <m:e>
                  <m:r>
                    <m:rPr>
                      <m:sty m:val="p"/>
                    </m:rPr>
                    <w:rPr>
                      <w:rFonts w:ascii="Cambria Math" w:hAnsi="Cambria Math" w:cs="Cambria Math" w:eastAsia="Cambria Math"/>
                    </w:rPr>
                    <m:t>w</m:t>
                  </m:r>
                </m:e>
                <m:sub>
                  <m:r>
                    <m:rPr>
                      <m:sty m:val="p"/>
                    </m:rPr>
                    <w:rPr>
                      <w:rFonts w:ascii="Cambria Math" w:hAnsi="Cambria Math" w:cs="Cambria Math" w:eastAsia="Cambria Math"/>
                    </w:rPr>
                    <m:t>2</m:t>
                  </m:r>
                </m:sub>
              </m:sSub>
              <m:r>
                <m:rPr>
                  <m:sty m:val="p"/>
                </m:rPr>
                <w:rPr>
                  <w:rFonts w:ascii="Cambria Math" w:hAnsi="Cambria Math" w:cs="Cambria Math" w:eastAsia="Cambria Math"/>
                </w:rPr>
                <m:t>,</m:t>
              </m:r>
              <m:sSub>
                <m:e>
                  <m:r>
                    <m:rPr>
                      <m:sty m:val="p"/>
                    </m:rPr>
                    <w:rPr>
                      <w:rFonts w:ascii="Cambria Math" w:hAnsi="Cambria Math" w:cs="Cambria Math" w:eastAsia="Cambria Math"/>
                    </w:rPr>
                    <m:t>w</m:t>
                  </m:r>
                </m:e>
                <m:sub>
                  <m:r>
                    <m:rPr>
                      <m:sty m:val="p"/>
                    </m:rPr>
                    <w:rPr>
                      <w:rFonts w:ascii="Cambria Math" w:hAnsi="Cambria Math" w:cs="Cambria Math" w:eastAsia="Cambria Math"/>
                    </w:rPr>
                    <m:t>3</m:t>
                  </m:r>
                </m:sub>
              </m:sSub>
            </m:oMath>
          </w:p>
        </w:tc>
        <w:tc>
          <w:tcPr>
            <w:tcW w:type="dxa" w:w="2160"/>
          </w:tcPr>
          <w:p>
            <w:r>
              <w:rPr>
                <w:rFonts w:ascii="宋体" w:hAnsi="宋体" w:eastAsia="宋体"/>
                <w:sz w:val="20"/>
              </w:rPr>
            </w:r>
            <w:r>
              <w:rPr>
                <w:rFonts w:ascii="宋体" w:hAnsi="宋体" w:eastAsia="宋体"/>
                <w:sz w:val="20"/>
              </w:rPr>
              <w:t>爆炸半径评估因子的预设加权系数</w:t>
            </w:r>
          </w:p>
        </w:tc>
        <w:tc>
          <w:tcPr>
            <w:tcW w:type="dxa" w:w="2160"/>
          </w:tcPr>
          <w:p>
            <w:r>
              <w:rPr>
                <w:rFonts w:ascii="宋体" w:hAnsi="宋体" w:eastAsia="宋体"/>
                <w:sz w:val="20"/>
              </w:rPr>
            </w:r>
            <w:r>
              <w:rPr>
                <w:rFonts w:ascii="宋体" w:hAnsi="宋体" w:eastAsia="宋体"/>
                <w:sz w:val="20"/>
              </w:rPr>
              <w:t>无量纲，</w:t>
            </w:r>
            <m:oMath>
              <m:sSub>
                <m:e>
                  <m:r>
                    <m:rPr>
                      <m:sty m:val="p"/>
                    </m:rPr>
                    <w:rPr>
                      <w:rFonts w:ascii="Cambria Math" w:hAnsi="Cambria Math" w:cs="Cambria Math" w:eastAsia="Cambria Math"/>
                    </w:rPr>
                    <m:t>w</m:t>
                  </m:r>
                </m:e>
                <m:sub>
                  <m:r>
                    <m:rPr>
                      <m:sty m:val="p"/>
                    </m:rPr>
                    <w:rPr>
                      <w:rFonts w:ascii="Cambria Math" w:hAnsi="Cambria Math" w:cs="Cambria Math" w:eastAsia="Cambria Math"/>
                    </w:rPr>
                    <m:t>1</m:t>
                  </m:r>
                </m:sub>
              </m:sSub>
              <m:r>
                <m:rPr>
                  <m:sty m:val="p"/>
                </m:rPr>
                <w:rPr>
                  <w:rFonts w:ascii="Cambria Math" w:hAnsi="Cambria Math" w:cs="Cambria Math" w:eastAsia="Cambria Math"/>
                </w:rPr>
                <m:t>+</m:t>
              </m:r>
              <m:sSub>
                <m:e>
                  <m:r>
                    <m:rPr>
                      <m:sty m:val="p"/>
                    </m:rPr>
                    <w:rPr>
                      <w:rFonts w:ascii="Cambria Math" w:hAnsi="Cambria Math" w:cs="Cambria Math" w:eastAsia="Cambria Math"/>
                    </w:rPr>
                    <m:t>w</m:t>
                  </m:r>
                </m:e>
                <m:sub>
                  <m:r>
                    <m:rPr>
                      <m:sty m:val="p"/>
                    </m:rPr>
                    <w:rPr>
                      <w:rFonts w:ascii="Cambria Math" w:hAnsi="Cambria Math" w:cs="Cambria Math" w:eastAsia="Cambria Math"/>
                    </w:rPr>
                    <m:t>2</m:t>
                  </m:r>
                </m:sub>
              </m:sSub>
              <m:r>
                <m:rPr>
                  <m:sty m:val="p"/>
                </m:rPr>
                <w:rPr>
                  <w:rFonts w:ascii="Cambria Math" w:hAnsi="Cambria Math" w:cs="Cambria Math" w:eastAsia="Cambria Math"/>
                </w:rPr>
                <m:t>+</m:t>
              </m:r>
              <m:sSub>
                <m:e>
                  <m:r>
                    <m:rPr>
                      <m:sty m:val="p"/>
                    </m:rPr>
                    <w:rPr>
                      <w:rFonts w:ascii="Cambria Math" w:hAnsi="Cambria Math" w:cs="Cambria Math" w:eastAsia="Cambria Math"/>
                    </w:rPr>
                    <m:t>w</m:t>
                  </m:r>
                </m:e>
                <m:sub>
                  <m:r>
                    <m:rPr>
                      <m:sty m:val="p"/>
                    </m:rPr>
                    <w:rPr>
                      <w:rFonts w:ascii="Cambria Math" w:hAnsi="Cambria Math" w:cs="Cambria Math" w:eastAsia="Cambria Math"/>
                    </w:rPr>
                    <m:t>3</m:t>
                  </m:r>
                </m:sub>
              </m:sSub>
              <m:r>
                <m:rPr>
                  <m:sty m:val="p"/>
                </m:rPr>
                <w:rPr>
                  <w:rFonts w:ascii="Cambria Math" w:hAnsi="Cambria Math" w:cs="Cambria Math" w:eastAsia="Cambria Math"/>
                </w:rPr>
                <m:t>=</m:t>
              </m:r>
              <m:r>
                <m:rPr>
                  <m:sty m:val="p"/>
                </m:rPr>
                <w:rPr>
                  <w:rFonts w:ascii="Cambria Math" w:hAnsi="Cambria Math" w:cs="Cambria Math" w:eastAsia="Cambria Math"/>
                </w:rPr>
                <m:t>1</m:t>
              </m:r>
            </m:oMath>
          </w:p>
        </w:tc>
        <w:tc>
          <w:tcPr>
            <w:tcW w:type="dxa" w:w="2160"/>
          </w:tcPr>
          <w:p>
            <w:r>
              <w:rPr>
                <w:rFonts w:ascii="宋体" w:hAnsi="宋体" w:eastAsia="宋体"/>
                <w:sz w:val="20"/>
              </w:rPr>
            </w:r>
            <m:oMath>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r>
    </w:tbl>
    <w:p>
      <w:pPr>
        <w:pStyle w:val="Heading4"/>
      </w:pPr>
      <w:r>
        <w:rPr>
          <w:rFonts w:ascii="宋体" w:hAnsi="宋体" w:eastAsia="宋体"/>
        </w:rPr>
        <w:t>（2）金丝雀监控与放行闭环符号表</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宋体" w:hAnsi="宋体" w:eastAsia="宋体"/>
                <w:sz w:val="20"/>
              </w:rPr>
            </w:r>
            <w:r>
              <w:rPr>
                <w:rFonts w:ascii="宋体" w:hAnsi="宋体" w:eastAsia="宋体"/>
                <w:sz w:val="20"/>
              </w:rPr>
              <w:t>符号</w:t>
            </w:r>
          </w:p>
        </w:tc>
        <w:tc>
          <w:tcPr>
            <w:tcW w:type="dxa" w:w="2160"/>
          </w:tcPr>
          <w:p>
            <w:r>
              <w:rPr>
                <w:rFonts w:ascii="宋体" w:hAnsi="宋体" w:eastAsia="宋体"/>
                <w:sz w:val="20"/>
              </w:rPr>
            </w:r>
            <w:r>
              <w:rPr>
                <w:rFonts w:ascii="宋体" w:hAnsi="宋体" w:eastAsia="宋体"/>
                <w:sz w:val="20"/>
              </w:rPr>
              <w:t>含义</w:t>
            </w:r>
          </w:p>
        </w:tc>
        <w:tc>
          <w:tcPr>
            <w:tcW w:type="dxa" w:w="2160"/>
          </w:tcPr>
          <w:p>
            <w:r>
              <w:rPr>
                <w:rFonts w:ascii="宋体" w:hAnsi="宋体" w:eastAsia="宋体"/>
                <w:sz w:val="20"/>
              </w:rPr>
            </w:r>
            <w:r>
              <w:rPr>
                <w:rFonts w:ascii="宋体" w:hAnsi="宋体" w:eastAsia="宋体"/>
                <w:sz w:val="20"/>
              </w:rPr>
              <w:t>下标/量纲</w:t>
            </w:r>
          </w:p>
        </w:tc>
        <w:tc>
          <w:tcPr>
            <w:tcW w:type="dxa" w:w="2160"/>
          </w:tcPr>
          <w:p>
            <w:r>
              <w:rPr>
                <w:rFonts w:ascii="宋体" w:hAnsi="宋体" w:eastAsia="宋体"/>
                <w:sz w:val="20"/>
              </w:rPr>
            </w:r>
            <w:r>
              <w:rPr>
                <w:rFonts w:ascii="宋体" w:hAnsi="宋体" w:eastAsia="宋体"/>
                <w:sz w:val="20"/>
              </w:rPr>
              <w:t>取值范围</w:t>
            </w:r>
          </w:p>
        </w:tc>
      </w:tr>
      <w:tr>
        <w:tc>
          <w:tcPr>
            <w:tcW w:type="dxa" w:w="2160"/>
          </w:tcPr>
          <w:p>
            <w:r>
              <w:rPr>
                <w:rFonts w:ascii="宋体" w:hAnsi="宋体" w:eastAsia="宋体"/>
                <w:sz w:val="20"/>
              </w:rPr>
            </w:r>
            <m:oMath>
              <m:r>
                <m:rPr>
                  <m:sty m:val="p"/>
                </m:rPr>
                <w:rPr>
                  <w:rFonts w:ascii="Cambria Math" w:hAnsi="Cambria Math" w:cs="Cambria Math" w:eastAsia="Cambria Math"/>
                </w:rPr>
                <m:t>t</m:t>
              </m:r>
            </m:oMath>
          </w:p>
        </w:tc>
        <w:tc>
          <w:tcPr>
            <w:tcW w:type="dxa" w:w="2160"/>
          </w:tcPr>
          <w:p>
            <w:r>
              <w:rPr>
                <w:rFonts w:ascii="宋体" w:hAnsi="宋体" w:eastAsia="宋体"/>
                <w:sz w:val="20"/>
              </w:rPr>
            </w:r>
            <w:r>
              <w:rPr>
                <w:rFonts w:ascii="宋体" w:hAnsi="宋体" w:eastAsia="宋体"/>
                <w:sz w:val="20"/>
              </w:rPr>
              <w:t>监控评估时间采样周期序号</w:t>
            </w:r>
          </w:p>
        </w:tc>
        <w:tc>
          <w:tcPr>
            <w:tcW w:type="dxa" w:w="2160"/>
          </w:tcPr>
          <w:p>
            <w:r>
              <w:rPr>
                <w:rFonts w:ascii="宋体" w:hAnsi="宋体" w:eastAsia="宋体"/>
                <w:sz w:val="20"/>
              </w:rPr>
            </w:r>
            <m:oMath>
              <m:r>
                <m:rPr>
                  <m:sty m:val="p"/>
                </m:rPr>
                <w:rPr>
                  <w:rFonts w:ascii="Cambria Math" w:hAnsi="Cambria Math" w:cs="Cambria Math" w:eastAsia="Cambria Math"/>
                </w:rPr>
                <m:t>t</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r>
                <m:rPr>
                  <m:sty m:val="p"/>
                </m:rPr>
                <w:rPr>
                  <w:rFonts w:ascii="Cambria Math" w:hAnsi="Cambria Math" w:cs="Cambria Math" w:eastAsia="Cambria Math"/>
                </w:rPr>
                <m:t>2</m:t>
              </m:r>
              <m:r>
                <m:rPr>
                  <m:sty m:val="p"/>
                </m:rPr>
                <w:rPr>
                  <w:rFonts w:ascii="Cambria Math" w:hAnsi="Cambria Math" w:cs="Cambria Math" w:eastAsia="Cambria Math"/>
                </w:rPr>
                <m:t>,</m:t>
              </m:r>
              <m:r>
                <m:rPr>
                  <m:sty m:val="p"/>
                </m:rPr>
                <w:rPr>
                  <w:rFonts w:ascii="Cambria Math" w:hAnsi="Cambria Math" w:cs="Cambria Math" w:eastAsia="Cambria Math"/>
                </w:rPr>
                <m:t>…</m:t>
              </m:r>
            </m:oMath>
          </w:p>
        </w:tc>
        <w:tc>
          <w:tcPr>
            <w:tcW w:type="dxa" w:w="2160"/>
          </w:tcPr>
          <w:p>
            <w:r>
              <w:rPr>
                <w:rFonts w:ascii="宋体" w:hAnsi="宋体" w:eastAsia="宋体"/>
                <w:sz w:val="20"/>
              </w:rPr>
            </w:r>
            <w:r>
              <w:rPr>
                <w:rFonts w:ascii="宋体" w:hAnsi="宋体" w:eastAsia="宋体"/>
                <w:sz w:val="20"/>
              </w:rPr>
              <w:t>正整数</w:t>
            </w:r>
          </w:p>
        </w:tc>
      </w:tr>
      <w:tr>
        <w:tc>
          <w:tcPr>
            <w:tcW w:type="dxa" w:w="2160"/>
          </w:tcPr>
          <w:p>
            <w:r>
              <w:rPr>
                <w:rFonts w:ascii="宋体" w:hAnsi="宋体" w:eastAsia="宋体"/>
                <w:sz w:val="20"/>
              </w:rPr>
            </w:r>
            <m:oMath>
              <m:sSub>
                <m:e>
                  <m:r>
                    <m:rPr>
                      <m:sty m:val="p"/>
                    </m:rPr>
                    <w:rPr>
                      <w:rFonts w:ascii="Cambria Math" w:hAnsi="Cambria Math" w:cs="Cambria Math" w:eastAsia="Cambria Math"/>
                    </w:rPr>
                    <m:t>H</m:t>
                  </m:r>
                </m:e>
                <m:sub>
                  <m:r>
                    <m:rPr>
                      <m:sty m:val="p"/>
                    </m:rPr>
                    <w:rPr>
                      <w:rFonts w:ascii="Cambria Math" w:hAnsi="Cambria Math" w:cs="Cambria Math" w:eastAsia="Cambria Math"/>
                    </w:rPr>
                    <m:t>t</m:t>
                  </m:r>
                </m:sub>
              </m:sSub>
            </m:oMath>
          </w:p>
        </w:tc>
        <w:tc>
          <w:tcPr>
            <w:tcW w:type="dxa" w:w="2160"/>
          </w:tcPr>
          <w:p>
            <w:r>
              <w:rPr>
                <w:rFonts w:ascii="宋体" w:hAnsi="宋体" w:eastAsia="宋体"/>
                <w:sz w:val="20"/>
              </w:rPr>
            </w:r>
            <w:r>
              <w:rPr>
                <w:rFonts w:ascii="宋体" w:hAnsi="宋体" w:eastAsia="宋体"/>
                <w:sz w:val="20"/>
              </w:rPr>
              <w:t xml:space="preserve">第 </w:t>
            </w:r>
            <m:oMath>
              <m:r>
                <m:rPr>
                  <m:sty m:val="p"/>
                </m:rPr>
                <w:rPr>
                  <w:rFonts w:ascii="Cambria Math" w:hAnsi="Cambria Math" w:cs="Cambria Math" w:eastAsia="Cambria Math"/>
                </w:rPr>
                <m:t>t</m:t>
              </m:r>
            </m:oMath>
            <w:r>
              <w:rPr>
                <w:rFonts w:ascii="宋体" w:hAnsi="宋体" w:eastAsia="宋体"/>
                <w:sz w:val="20"/>
              </w:rPr>
              <w:t xml:space="preserve"> 周期经过滑动平滑处理后的金丝雀综合指标基线</w:t>
            </w:r>
          </w:p>
        </w:tc>
        <w:tc>
          <w:tcPr>
            <w:tcW w:type="dxa" w:w="2160"/>
          </w:tcPr>
          <w:p>
            <w:r>
              <w:rPr>
                <w:rFonts w:ascii="宋体" w:hAnsi="宋体" w:eastAsia="宋体"/>
                <w:sz w:val="20"/>
              </w:rPr>
            </w:r>
            <w:r>
              <w:rPr>
                <w:rFonts w:ascii="宋体" w:hAnsi="宋体" w:eastAsia="宋体"/>
                <w:sz w:val="20"/>
              </w:rPr>
              <w:t>无量纲</w:t>
            </w:r>
          </w:p>
        </w:tc>
        <w:tc>
          <w:tcPr>
            <w:tcW w:type="dxa" w:w="2160"/>
          </w:tcPr>
          <w:p>
            <w:r>
              <w:rPr>
                <w:rFonts w:ascii="宋体" w:hAnsi="宋体" w:eastAsia="宋体"/>
                <w:sz w:val="20"/>
              </w:rPr>
            </w:r>
            <m:oMath>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r>
      <w:tr>
        <w:tc>
          <w:tcPr>
            <w:tcW w:type="dxa" w:w="2160"/>
          </w:tcPr>
          <w:p>
            <w:r>
              <w:rPr>
                <w:rFonts w:ascii="宋体" w:hAnsi="宋体" w:eastAsia="宋体"/>
                <w:sz w:val="20"/>
              </w:rPr>
            </w:r>
            <m:oMath>
              <m:sSub>
                <m:e>
                  <m:r>
                    <m:rPr>
                      <m:sty m:val="p"/>
                    </m:rPr>
                    <w:rPr>
                      <w:rFonts w:ascii="Cambria Math" w:hAnsi="Cambria Math" w:cs="Cambria Math" w:eastAsia="Cambria Math"/>
                    </w:rPr>
                    <m:t>h</m:t>
                  </m:r>
                </m:e>
                <m:sub>
                  <m:r>
                    <m:rPr>
                      <m:sty m:val="p"/>
                    </m:rPr>
                    <w:rPr>
                      <w:rFonts w:ascii="Cambria Math" w:hAnsi="Cambria Math" w:cs="Cambria Math" w:eastAsia="Cambria Math"/>
                    </w:rPr>
                    <m:t>t</m:t>
                  </m:r>
                </m:sub>
              </m:sSub>
            </m:oMath>
          </w:p>
        </w:tc>
        <w:tc>
          <w:tcPr>
            <w:tcW w:type="dxa" w:w="2160"/>
          </w:tcPr>
          <w:p>
            <w:r>
              <w:rPr>
                <w:rFonts w:ascii="宋体" w:hAnsi="宋体" w:eastAsia="宋体"/>
                <w:sz w:val="20"/>
              </w:rPr>
            </w:r>
            <w:r>
              <w:rPr>
                <w:rFonts w:ascii="宋体" w:hAnsi="宋体" w:eastAsia="宋体"/>
                <w:sz w:val="20"/>
              </w:rPr>
              <w:t xml:space="preserve">第 </w:t>
            </w:r>
            <m:oMath>
              <m:r>
                <m:rPr>
                  <m:sty m:val="p"/>
                </m:rPr>
                <w:rPr>
                  <w:rFonts w:ascii="Cambria Math" w:hAnsi="Cambria Math" w:cs="Cambria Math" w:eastAsia="Cambria Math"/>
                </w:rPr>
                <m:t>t</m:t>
              </m:r>
            </m:oMath>
            <w:r>
              <w:rPr>
                <w:rFonts w:ascii="宋体" w:hAnsi="宋体" w:eastAsia="宋体"/>
                <w:sz w:val="20"/>
              </w:rPr>
              <w:t xml:space="preserve"> 周期金丝雀沙箱采集到的瞬时性能指标值</w:t>
            </w:r>
          </w:p>
        </w:tc>
        <w:tc>
          <w:tcPr>
            <w:tcW w:type="dxa" w:w="2160"/>
          </w:tcPr>
          <w:p>
            <w:r>
              <w:rPr>
                <w:rFonts w:ascii="宋体" w:hAnsi="宋体" w:eastAsia="宋体"/>
                <w:sz w:val="20"/>
              </w:rPr>
            </w:r>
            <w:r>
              <w:rPr>
                <w:rFonts w:ascii="宋体" w:hAnsi="宋体" w:eastAsia="宋体"/>
                <w:sz w:val="20"/>
              </w:rPr>
              <w:t>无量纲</w:t>
            </w:r>
          </w:p>
        </w:tc>
        <w:tc>
          <w:tcPr>
            <w:tcW w:type="dxa" w:w="2160"/>
          </w:tcPr>
          <w:p>
            <w:r>
              <w:rPr>
                <w:rFonts w:ascii="宋体" w:hAnsi="宋体" w:eastAsia="宋体"/>
                <w:sz w:val="20"/>
              </w:rPr>
            </w:r>
            <m:oMath>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r>
      <w:tr>
        <w:tc>
          <w:tcPr>
            <w:tcW w:type="dxa" w:w="2160"/>
          </w:tcPr>
          <w:p>
            <w:r>
              <w:rPr>
                <w:rFonts w:ascii="宋体" w:hAnsi="宋体" w:eastAsia="宋体"/>
                <w:sz w:val="20"/>
              </w:rPr>
            </w:r>
            <m:oMath>
              <m:r>
                <m:rPr>
                  <m:sty m:val="p"/>
                </m:rPr>
                <w:rPr>
                  <w:rFonts w:ascii="Cambria Math" w:hAnsi="Cambria Math" w:cs="Cambria Math" w:eastAsia="Cambria Math"/>
                </w:rPr>
                <m:t>ρ</m:t>
              </m:r>
            </m:oMath>
          </w:p>
        </w:tc>
        <w:tc>
          <w:tcPr>
            <w:tcW w:type="dxa" w:w="2160"/>
          </w:tcPr>
          <w:p>
            <w:r>
              <w:rPr>
                <w:rFonts w:ascii="宋体" w:hAnsi="宋体" w:eastAsia="宋体"/>
                <w:sz w:val="20"/>
              </w:rPr>
            </w:r>
            <w:r>
              <w:rPr>
                <w:rFonts w:ascii="宋体" w:hAnsi="宋体" w:eastAsia="宋体"/>
                <w:sz w:val="20"/>
              </w:rPr>
              <w:t>指数滑动平滑的历史衰减系数</w:t>
            </w:r>
          </w:p>
        </w:tc>
        <w:tc>
          <w:tcPr>
            <w:tcW w:type="dxa" w:w="2160"/>
          </w:tcPr>
          <w:p>
            <w:r>
              <w:rPr>
                <w:rFonts w:ascii="宋体" w:hAnsi="宋体" w:eastAsia="宋体"/>
                <w:sz w:val="20"/>
              </w:rPr>
            </w:r>
            <w:r>
              <w:rPr>
                <w:rFonts w:ascii="宋体" w:hAnsi="宋体" w:eastAsia="宋体"/>
                <w:sz w:val="20"/>
              </w:rPr>
              <w:t>无量纲</w:t>
            </w:r>
          </w:p>
        </w:tc>
        <w:tc>
          <w:tcPr>
            <w:tcW w:type="dxa" w:w="2160"/>
          </w:tcPr>
          <w:p>
            <w:r>
              <w:rPr>
                <w:rFonts w:ascii="宋体" w:hAnsi="宋体" w:eastAsia="宋体"/>
                <w:sz w:val="20"/>
              </w:rPr>
            </w:r>
            <m:oMath>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r>
      <w:tr>
        <w:tc>
          <w:tcPr>
            <w:tcW w:type="dxa" w:w="2160"/>
          </w:tcPr>
          <w:p>
            <w:r>
              <w:rPr>
                <w:rFonts w:ascii="宋体" w:hAnsi="宋体" w:eastAsia="宋体"/>
                <w:sz w:val="20"/>
              </w:rPr>
            </w:r>
            <m:oMath>
              <m:sSub>
                <m:e>
                  <m:r>
                    <m:rPr>
                      <m:sty m:val="p"/>
                    </m:rPr>
                    <w:rPr>
                      <w:rFonts w:ascii="Cambria Math" w:hAnsi="Cambria Math" w:cs="Cambria Math" w:eastAsia="Cambria Math"/>
                    </w:rPr>
                    <m:t>S</m:t>
                  </m:r>
                </m:e>
                <m:sub>
                  <m:r>
                    <m:rPr>
                      <m:sty m:val="p"/>
                    </m:rPr>
                    <w:rPr>
                      <w:rFonts w:ascii="Cambria Math" w:hAnsi="Cambria Math" w:cs="Cambria Math" w:eastAsia="Cambria Math"/>
                    </w:rPr>
                    <m:t>t</m:t>
                  </m:r>
                </m:sub>
              </m:sSub>
            </m:oMath>
          </w:p>
        </w:tc>
        <w:tc>
          <w:tcPr>
            <w:tcW w:type="dxa" w:w="2160"/>
          </w:tcPr>
          <w:p>
            <w:r>
              <w:rPr>
                <w:rFonts w:ascii="宋体" w:hAnsi="宋体" w:eastAsia="宋体"/>
                <w:sz w:val="20"/>
              </w:rPr>
            </w:r>
            <w:r>
              <w:rPr>
                <w:rFonts w:ascii="宋体" w:hAnsi="宋体" w:eastAsia="宋体"/>
                <w:sz w:val="20"/>
              </w:rPr>
              <w:t xml:space="preserve">金丝雀沙箱节点在第 </w:t>
            </w:r>
            <m:oMath>
              <m:r>
                <m:rPr>
                  <m:sty m:val="p"/>
                </m:rPr>
                <w:rPr>
                  <w:rFonts w:ascii="Cambria Math" w:hAnsi="Cambria Math" w:cs="Cambria Math" w:eastAsia="Cambria Math"/>
                </w:rPr>
                <m:t>t</m:t>
              </m:r>
            </m:oMath>
            <w:r>
              <w:rPr>
                <w:rFonts w:ascii="宋体" w:hAnsi="宋体" w:eastAsia="宋体"/>
                <w:sz w:val="20"/>
              </w:rPr>
              <w:t xml:space="preserve"> 周期的健康度综合评估分</w:t>
            </w:r>
          </w:p>
        </w:tc>
        <w:tc>
          <w:tcPr>
            <w:tcW w:type="dxa" w:w="2160"/>
          </w:tcPr>
          <w:p>
            <w:r>
              <w:rPr>
                <w:rFonts w:ascii="宋体" w:hAnsi="宋体" w:eastAsia="宋体"/>
                <w:sz w:val="20"/>
              </w:rPr>
            </w:r>
            <w:r>
              <w:rPr>
                <w:rFonts w:ascii="宋体" w:hAnsi="宋体" w:eastAsia="宋体"/>
                <w:sz w:val="20"/>
              </w:rPr>
              <w:t>无量纲</w:t>
            </w:r>
          </w:p>
        </w:tc>
        <w:tc>
          <w:tcPr>
            <w:tcW w:type="dxa" w:w="2160"/>
          </w:tcPr>
          <w:p>
            <w:r>
              <w:rPr>
                <w:rFonts w:ascii="宋体" w:hAnsi="宋体" w:eastAsia="宋体"/>
                <w:sz w:val="20"/>
              </w:rPr>
            </w:r>
            <m:oMath>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r>
      <w:tr>
        <w:tc>
          <w:tcPr>
            <w:tcW w:type="dxa" w:w="2160"/>
          </w:tcPr>
          <w:p>
            <w:r>
              <w:rPr>
                <w:rFonts w:ascii="宋体" w:hAnsi="宋体" w:eastAsia="宋体"/>
                <w:sz w:val="20"/>
              </w:rPr>
            </w:r>
            <m:oMath>
              <m:sSubSup>
                <m:e>
                  <m:r>
                    <m:rPr>
                      <m:sty m:val="p"/>
                    </m:rPr>
                    <w:rPr>
                      <w:rFonts w:ascii="Cambria Math" w:hAnsi="Cambria Math" w:cs="Cambria Math" w:eastAsia="Cambria Math"/>
                    </w:rPr>
                    <m:t>E</m:t>
                  </m:r>
                </m:e>
                <m:sub>
                  <m:r>
                    <m:rPr>
                      <m:sty m:val="p"/>
                    </m:rPr>
                    <w:rPr>
                      <w:rFonts w:ascii="Cambria Math" w:hAnsi="Cambria Math" w:cs="Cambria Math" w:eastAsia="Cambria Math"/>
                    </w:rPr>
                    <m:t>t</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oMath>
          </w:p>
        </w:tc>
        <w:tc>
          <w:tcPr>
            <w:tcW w:type="dxa" w:w="2160"/>
          </w:tcPr>
          <w:p>
            <w:r>
              <w:rPr>
                <w:rFonts w:ascii="宋体" w:hAnsi="宋体" w:eastAsia="宋体"/>
                <w:sz w:val="20"/>
              </w:rPr>
            </w:r>
            <w:r>
              <w:rPr>
                <w:rFonts w:ascii="宋体" w:hAnsi="宋体" w:eastAsia="宋体"/>
                <w:sz w:val="20"/>
              </w:rPr>
              <w:t>金丝雀节点采集的归一化请求调用错误率</w:t>
            </w:r>
          </w:p>
        </w:tc>
        <w:tc>
          <w:tcPr>
            <w:tcW w:type="dxa" w:w="2160"/>
          </w:tcPr>
          <w:p>
            <w:r>
              <w:rPr>
                <w:rFonts w:ascii="宋体" w:hAnsi="宋体" w:eastAsia="宋体"/>
                <w:sz w:val="20"/>
              </w:rPr>
            </w:r>
            <w:r>
              <w:rPr>
                <w:rFonts w:ascii="宋体" w:hAnsi="宋体" w:eastAsia="宋体"/>
                <w:sz w:val="20"/>
              </w:rPr>
              <w:t>无量纲</w:t>
            </w:r>
          </w:p>
        </w:tc>
        <w:tc>
          <w:tcPr>
            <w:tcW w:type="dxa" w:w="2160"/>
          </w:tcPr>
          <w:p>
            <w:r>
              <w:rPr>
                <w:rFonts w:ascii="宋体" w:hAnsi="宋体" w:eastAsia="宋体"/>
                <w:sz w:val="20"/>
              </w:rPr>
            </w:r>
            <m:oMath>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r>
      <w:tr>
        <w:tc>
          <w:tcPr>
            <w:tcW w:type="dxa" w:w="2160"/>
          </w:tcPr>
          <w:p>
            <w:r>
              <w:rPr>
                <w:rFonts w:ascii="宋体" w:hAnsi="宋体" w:eastAsia="宋体"/>
                <w:sz w:val="20"/>
              </w:rPr>
            </w:r>
            <m:oMath>
              <m:sSubSup>
                <m:e>
                  <m:r>
                    <m:rPr>
                      <m:sty m:val="p"/>
                    </m:rPr>
                    <w:rPr>
                      <w:rFonts w:ascii="Cambria Math" w:hAnsi="Cambria Math" w:cs="Cambria Math" w:eastAsia="Cambria Math"/>
                    </w:rPr>
                    <m:t>L</m:t>
                  </m:r>
                </m:e>
                <m:sub>
                  <m:r>
                    <m:rPr>
                      <m:sty m:val="p"/>
                    </m:rPr>
                    <w:rPr>
                      <w:rFonts w:ascii="Cambria Math" w:hAnsi="Cambria Math" w:cs="Cambria Math" w:eastAsia="Cambria Math"/>
                    </w:rPr>
                    <m:t>t</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oMath>
          </w:p>
        </w:tc>
        <w:tc>
          <w:tcPr>
            <w:tcW w:type="dxa" w:w="2160"/>
          </w:tcPr>
          <w:p>
            <w:r>
              <w:rPr>
                <w:rFonts w:ascii="宋体" w:hAnsi="宋体" w:eastAsia="宋体"/>
                <w:sz w:val="20"/>
              </w:rPr>
            </w:r>
            <w:r>
              <w:rPr>
                <w:rFonts w:ascii="宋体" w:hAnsi="宋体" w:eastAsia="宋体"/>
                <w:sz w:val="20"/>
              </w:rPr>
              <w:t>金丝雀节点采集的归一化请求响应时延波动率</w:t>
            </w:r>
          </w:p>
        </w:tc>
        <w:tc>
          <w:tcPr>
            <w:tcW w:type="dxa" w:w="2160"/>
          </w:tcPr>
          <w:p>
            <w:r>
              <w:rPr>
                <w:rFonts w:ascii="宋体" w:hAnsi="宋体" w:eastAsia="宋体"/>
                <w:sz w:val="20"/>
              </w:rPr>
            </w:r>
            <w:r>
              <w:rPr>
                <w:rFonts w:ascii="宋体" w:hAnsi="宋体" w:eastAsia="宋体"/>
                <w:sz w:val="20"/>
              </w:rPr>
              <w:t>无量纲</w:t>
            </w:r>
          </w:p>
        </w:tc>
        <w:tc>
          <w:tcPr>
            <w:tcW w:type="dxa" w:w="2160"/>
          </w:tcPr>
          <w:p>
            <w:r>
              <w:rPr>
                <w:rFonts w:ascii="宋体" w:hAnsi="宋体" w:eastAsia="宋体"/>
                <w:sz w:val="20"/>
              </w:rPr>
            </w:r>
            <m:oMath>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r>
      <w:tr>
        <w:tc>
          <w:tcPr>
            <w:tcW w:type="dxa" w:w="2160"/>
          </w:tcPr>
          <w:p>
            <w:r>
              <w:rPr>
                <w:rFonts w:ascii="宋体" w:hAnsi="宋体" w:eastAsia="宋体"/>
                <w:sz w:val="20"/>
              </w:rPr>
            </w:r>
            <m:oMath>
              <m:sSubSup>
                <m:e>
                  <m:r>
                    <m:rPr>
                      <m:sty m:val="p"/>
                    </m:rPr>
                    <w:rPr>
                      <w:rFonts w:ascii="Cambria Math" w:hAnsi="Cambria Math" w:cs="Cambria Math" w:eastAsia="Cambria Math"/>
                    </w:rPr>
                    <m:t>A</m:t>
                  </m:r>
                </m:e>
                <m:sub>
                  <m:r>
                    <m:rPr>
                      <m:sty m:val="p"/>
                    </m:rPr>
                    <w:rPr>
                      <w:rFonts w:ascii="Cambria Math" w:hAnsi="Cambria Math" w:cs="Cambria Math" w:eastAsia="Cambria Math"/>
                    </w:rPr>
                    <m:t>t</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oMath>
          </w:p>
        </w:tc>
        <w:tc>
          <w:tcPr>
            <w:tcW w:type="dxa" w:w="2160"/>
          </w:tcPr>
          <w:p>
            <w:r>
              <w:rPr>
                <w:rFonts w:ascii="宋体" w:hAnsi="宋体" w:eastAsia="宋体"/>
                <w:sz w:val="20"/>
              </w:rPr>
            </w:r>
            <w:r>
              <w:rPr>
                <w:rFonts w:ascii="宋体" w:hAnsi="宋体" w:eastAsia="宋体"/>
                <w:sz w:val="20"/>
              </w:rPr>
              <w:t>金丝雀节点触发的关联告警严重级别归一化评分</w:t>
            </w:r>
          </w:p>
        </w:tc>
        <w:tc>
          <w:tcPr>
            <w:tcW w:type="dxa" w:w="2160"/>
          </w:tcPr>
          <w:p>
            <w:r>
              <w:rPr>
                <w:rFonts w:ascii="宋体" w:hAnsi="宋体" w:eastAsia="宋体"/>
                <w:sz w:val="20"/>
              </w:rPr>
            </w:r>
            <w:r>
              <w:rPr>
                <w:rFonts w:ascii="宋体" w:hAnsi="宋体" w:eastAsia="宋体"/>
                <w:sz w:val="20"/>
              </w:rPr>
              <w:t>无量纲</w:t>
            </w:r>
          </w:p>
        </w:tc>
        <w:tc>
          <w:tcPr>
            <w:tcW w:type="dxa" w:w="2160"/>
          </w:tcPr>
          <w:p>
            <w:r>
              <w:rPr>
                <w:rFonts w:ascii="宋体" w:hAnsi="宋体" w:eastAsia="宋体"/>
                <w:sz w:val="20"/>
              </w:rPr>
            </w:r>
            <m:oMath>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r>
      <w:tr>
        <w:tc>
          <w:tcPr>
            <w:tcW w:type="dxa" w:w="2160"/>
          </w:tcPr>
          <w:p>
            <w:r>
              <w:rPr>
                <w:rFonts w:ascii="宋体" w:hAnsi="宋体" w:eastAsia="宋体"/>
                <w:sz w:val="20"/>
              </w:rPr>
            </w:r>
            <m:oMath>
              <m:sSub>
                <m:e>
                  <m:r>
                    <m:rPr>
                      <m:sty m:val="p"/>
                    </m:rPr>
                    <w:rPr>
                      <w:rFonts w:ascii="Cambria Math" w:hAnsi="Cambria Math" w:cs="Cambria Math" w:eastAsia="Cambria Math"/>
                    </w:rPr>
                    <m:t>u</m:t>
                  </m:r>
                </m:e>
                <m:sub>
                  <m:r>
                    <m:rPr>
                      <m:sty m:val="p"/>
                    </m:rPr>
                    <w:rPr>
                      <w:rFonts w:ascii="Cambria Math" w:hAnsi="Cambria Math" w:cs="Cambria Math" w:eastAsia="Cambria Math"/>
                    </w:rPr>
                    <m:t>1</m:t>
                  </m:r>
                </m:sub>
              </m:sSub>
              <m:r>
                <m:rPr>
                  <m:sty m:val="p"/>
                </m:rPr>
                <w:rPr>
                  <w:rFonts w:ascii="Cambria Math" w:hAnsi="Cambria Math" w:cs="Cambria Math" w:eastAsia="Cambria Math"/>
                </w:rPr>
                <m:t>,</m:t>
              </m:r>
              <m:sSub>
                <m:e>
                  <m:r>
                    <m:rPr>
                      <m:sty m:val="p"/>
                    </m:rPr>
                    <w:rPr>
                      <w:rFonts w:ascii="Cambria Math" w:hAnsi="Cambria Math" w:cs="Cambria Math" w:eastAsia="Cambria Math"/>
                    </w:rPr>
                    <m:t>u</m:t>
                  </m:r>
                </m:e>
                <m:sub>
                  <m:r>
                    <m:rPr>
                      <m:sty m:val="p"/>
                    </m:rPr>
                    <w:rPr>
                      <w:rFonts w:ascii="Cambria Math" w:hAnsi="Cambria Math" w:cs="Cambria Math" w:eastAsia="Cambria Math"/>
                    </w:rPr>
                    <m:t>2</m:t>
                  </m:r>
                </m:sub>
              </m:sSub>
              <m:r>
                <m:rPr>
                  <m:sty m:val="p"/>
                </m:rPr>
                <w:rPr>
                  <w:rFonts w:ascii="Cambria Math" w:hAnsi="Cambria Math" w:cs="Cambria Math" w:eastAsia="Cambria Math"/>
                </w:rPr>
                <m:t>,</m:t>
              </m:r>
              <m:sSub>
                <m:e>
                  <m:r>
                    <m:rPr>
                      <m:sty m:val="p"/>
                    </m:rPr>
                    <w:rPr>
                      <w:rFonts w:ascii="Cambria Math" w:hAnsi="Cambria Math" w:cs="Cambria Math" w:eastAsia="Cambria Math"/>
                    </w:rPr>
                    <m:t>u</m:t>
                  </m:r>
                </m:e>
                <m:sub>
                  <m:r>
                    <m:rPr>
                      <m:sty m:val="p"/>
                    </m:rPr>
                    <w:rPr>
                      <w:rFonts w:ascii="Cambria Math" w:hAnsi="Cambria Math" w:cs="Cambria Math" w:eastAsia="Cambria Math"/>
                    </w:rPr>
                    <m:t>3</m:t>
                  </m:r>
                </m:sub>
              </m:sSub>
            </m:oMath>
          </w:p>
        </w:tc>
        <w:tc>
          <w:tcPr>
            <w:tcW w:type="dxa" w:w="2160"/>
          </w:tcPr>
          <w:p>
            <w:r>
              <w:rPr>
                <w:rFonts w:ascii="宋体" w:hAnsi="宋体" w:eastAsia="宋体"/>
                <w:sz w:val="20"/>
              </w:rPr>
            </w:r>
            <w:r>
              <w:rPr>
                <w:rFonts w:ascii="宋体" w:hAnsi="宋体" w:eastAsia="宋体"/>
                <w:sz w:val="20"/>
              </w:rPr>
              <w:t>健康度劣化因子加权系数</w:t>
            </w:r>
          </w:p>
        </w:tc>
        <w:tc>
          <w:tcPr>
            <w:tcW w:type="dxa" w:w="2160"/>
          </w:tcPr>
          <w:p>
            <w:r>
              <w:rPr>
                <w:rFonts w:ascii="宋体" w:hAnsi="宋体" w:eastAsia="宋体"/>
                <w:sz w:val="20"/>
              </w:rPr>
            </w:r>
            <w:r>
              <w:rPr>
                <w:rFonts w:ascii="宋体" w:hAnsi="宋体" w:eastAsia="宋体"/>
                <w:sz w:val="20"/>
              </w:rPr>
              <w:t>无量纲，</w:t>
            </w:r>
            <m:oMath>
              <m:sSub>
                <m:e>
                  <m:r>
                    <m:rPr>
                      <m:sty m:val="p"/>
                    </m:rPr>
                    <w:rPr>
                      <w:rFonts w:ascii="Cambria Math" w:hAnsi="Cambria Math" w:cs="Cambria Math" w:eastAsia="Cambria Math"/>
                    </w:rPr>
                    <m:t>u</m:t>
                  </m:r>
                </m:e>
                <m:sub>
                  <m:r>
                    <m:rPr>
                      <m:sty m:val="p"/>
                    </m:rPr>
                    <w:rPr>
                      <w:rFonts w:ascii="Cambria Math" w:hAnsi="Cambria Math" w:cs="Cambria Math" w:eastAsia="Cambria Math"/>
                    </w:rPr>
                    <m:t>1</m:t>
                  </m:r>
                </m:sub>
              </m:sSub>
              <m:r>
                <m:rPr>
                  <m:sty m:val="p"/>
                </m:rPr>
                <w:rPr>
                  <w:rFonts w:ascii="Cambria Math" w:hAnsi="Cambria Math" w:cs="Cambria Math" w:eastAsia="Cambria Math"/>
                </w:rPr>
                <m:t>+</m:t>
              </m:r>
              <m:sSub>
                <m:e>
                  <m:r>
                    <m:rPr>
                      <m:sty m:val="p"/>
                    </m:rPr>
                    <w:rPr>
                      <w:rFonts w:ascii="Cambria Math" w:hAnsi="Cambria Math" w:cs="Cambria Math" w:eastAsia="Cambria Math"/>
                    </w:rPr>
                    <m:t>u</m:t>
                  </m:r>
                </m:e>
                <m:sub>
                  <m:r>
                    <m:rPr>
                      <m:sty m:val="p"/>
                    </m:rPr>
                    <w:rPr>
                      <w:rFonts w:ascii="Cambria Math" w:hAnsi="Cambria Math" w:cs="Cambria Math" w:eastAsia="Cambria Math"/>
                    </w:rPr>
                    <m:t>2</m:t>
                  </m:r>
                </m:sub>
              </m:sSub>
              <m:r>
                <m:rPr>
                  <m:sty m:val="p"/>
                </m:rPr>
                <w:rPr>
                  <w:rFonts w:ascii="Cambria Math" w:hAnsi="Cambria Math" w:cs="Cambria Math" w:eastAsia="Cambria Math"/>
                </w:rPr>
                <m:t>+</m:t>
              </m:r>
              <m:sSub>
                <m:e>
                  <m:r>
                    <m:rPr>
                      <m:sty m:val="p"/>
                    </m:rPr>
                    <w:rPr>
                      <w:rFonts w:ascii="Cambria Math" w:hAnsi="Cambria Math" w:cs="Cambria Math" w:eastAsia="Cambria Math"/>
                    </w:rPr>
                    <m:t>u</m:t>
                  </m:r>
                </m:e>
                <m:sub>
                  <m:r>
                    <m:rPr>
                      <m:sty m:val="p"/>
                    </m:rPr>
                    <w:rPr>
                      <w:rFonts w:ascii="Cambria Math" w:hAnsi="Cambria Math" w:cs="Cambria Math" w:eastAsia="Cambria Math"/>
                    </w:rPr>
                    <m:t>3</m:t>
                  </m:r>
                </m:sub>
              </m:sSub>
              <m:r>
                <m:rPr>
                  <m:sty m:val="p"/>
                </m:rPr>
                <w:rPr>
                  <w:rFonts w:ascii="Cambria Math" w:hAnsi="Cambria Math" w:cs="Cambria Math" w:eastAsia="Cambria Math"/>
                </w:rPr>
                <m:t>=</m:t>
              </m:r>
              <m:r>
                <m:rPr>
                  <m:sty m:val="p"/>
                </m:rPr>
                <w:rPr>
                  <w:rFonts w:ascii="Cambria Math" w:hAnsi="Cambria Math" w:cs="Cambria Math" w:eastAsia="Cambria Math"/>
                </w:rPr>
                <m:t>1</m:t>
              </m:r>
            </m:oMath>
          </w:p>
        </w:tc>
        <w:tc>
          <w:tcPr>
            <w:tcW w:type="dxa" w:w="2160"/>
          </w:tcPr>
          <w:p>
            <w:r>
              <w:rPr>
                <w:rFonts w:ascii="宋体" w:hAnsi="宋体" w:eastAsia="宋体"/>
                <w:sz w:val="20"/>
              </w:rPr>
            </w:r>
            <m:oMath>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r>
      <w:tr>
        <w:tc>
          <w:tcPr>
            <w:tcW w:type="dxa" w:w="2160"/>
          </w:tcPr>
          <w:p>
            <w:r>
              <w:rPr>
                <w:rFonts w:ascii="宋体" w:hAnsi="宋体" w:eastAsia="宋体"/>
                <w:sz w:val="20"/>
              </w:rPr>
            </w:r>
            <m:oMath>
              <m:r>
                <m:rPr>
                  <m:sty m:val="p"/>
                </m:rPr>
                <w:rPr>
                  <w:rFonts w:ascii="Cambria Math" w:hAnsi="Cambria Math" w:cs="Cambria Math" w:eastAsia="Cambria Math"/>
                </w:rPr>
                <m:t>m</m:t>
              </m:r>
            </m:oMath>
          </w:p>
        </w:tc>
        <w:tc>
          <w:tcPr>
            <w:tcW w:type="dxa" w:w="2160"/>
          </w:tcPr>
          <w:p>
            <w:r>
              <w:rPr>
                <w:rFonts w:ascii="宋体" w:hAnsi="宋体" w:eastAsia="宋体"/>
                <w:sz w:val="20"/>
              </w:rPr>
            </w:r>
            <w:r>
              <w:rPr>
                <w:rFonts w:ascii="宋体" w:hAnsi="宋体" w:eastAsia="宋体"/>
                <w:sz w:val="20"/>
              </w:rPr>
              <w:t>渐进式放行轮次序号</w:t>
            </w:r>
          </w:p>
        </w:tc>
        <w:tc>
          <w:tcPr>
            <w:tcW w:type="dxa" w:w="2160"/>
          </w:tcPr>
          <w:p>
            <w:r>
              <w:rPr>
                <w:rFonts w:ascii="宋体" w:hAnsi="宋体" w:eastAsia="宋体"/>
                <w:sz w:val="20"/>
              </w:rPr>
            </w:r>
            <m:oMath>
              <m:r>
                <m:rPr>
                  <m:sty m:val="p"/>
                </m:rPr>
                <w:rPr>
                  <w:rFonts w:ascii="Cambria Math" w:hAnsi="Cambria Math" w:cs="Cambria Math" w:eastAsia="Cambria Math"/>
                </w:rPr>
                <m:t>m</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r>
                <m:rPr>
                  <m:sty m:val="p"/>
                </m:rPr>
                <w:rPr>
                  <w:rFonts w:ascii="Cambria Math" w:hAnsi="Cambria Math" w:cs="Cambria Math" w:eastAsia="Cambria Math"/>
                </w:rPr>
                <m:t>2</m:t>
              </m:r>
              <m:r>
                <m:rPr>
                  <m:sty m:val="p"/>
                </m:rPr>
                <w:rPr>
                  <w:rFonts w:ascii="Cambria Math" w:hAnsi="Cambria Math" w:cs="Cambria Math" w:eastAsia="Cambria Math"/>
                </w:rPr>
                <m:t>,</m:t>
              </m:r>
              <m:r>
                <m:rPr>
                  <m:sty m:val="p"/>
                </m:rPr>
                <w:rPr>
                  <w:rFonts w:ascii="Cambria Math" w:hAnsi="Cambria Math" w:cs="Cambria Math" w:eastAsia="Cambria Math"/>
                </w:rPr>
                <m:t>…</m:t>
              </m:r>
            </m:oMath>
          </w:p>
        </w:tc>
        <w:tc>
          <w:tcPr>
            <w:tcW w:type="dxa" w:w="2160"/>
          </w:tcPr>
          <w:p>
            <w:r>
              <w:rPr>
                <w:rFonts w:ascii="宋体" w:hAnsi="宋体" w:eastAsia="宋体"/>
                <w:sz w:val="20"/>
              </w:rPr>
            </w:r>
            <w:r>
              <w:rPr>
                <w:rFonts w:ascii="宋体" w:hAnsi="宋体" w:eastAsia="宋体"/>
                <w:sz w:val="20"/>
              </w:rPr>
              <w:t>正整数</w:t>
            </w:r>
          </w:p>
        </w:tc>
      </w:tr>
      <w:tr>
        <w:tc>
          <w:tcPr>
            <w:tcW w:type="dxa" w:w="2160"/>
          </w:tcPr>
          <w:p>
            <w:r>
              <w:rPr>
                <w:rFonts w:ascii="宋体" w:hAnsi="宋体" w:eastAsia="宋体"/>
                <w:sz w:val="20"/>
              </w:rPr>
            </w:r>
            <m:oMath>
              <m:sSub>
                <m:e>
                  <m:r>
                    <m:rPr>
                      <m:sty m:val="p"/>
                    </m:rPr>
                    <w:rPr>
                      <w:rFonts w:ascii="Cambria Math" w:hAnsi="Cambria Math" w:cs="Cambria Math" w:eastAsia="Cambria Math"/>
                    </w:rPr>
                    <m:t>θ</m:t>
                  </m:r>
                </m:e>
                <m:sub>
                  <m:r>
                    <m:rPr>
                      <m:sty m:val="p"/>
                    </m:rPr>
                    <w:rPr>
                      <w:rFonts w:ascii="Cambria Math" w:hAnsi="Cambria Math" w:cs="Cambria Math" w:eastAsia="Cambria Math"/>
                    </w:rPr>
                    <m:t>m</m:t>
                  </m:r>
                </m:sub>
              </m:sSub>
            </m:oMath>
          </w:p>
        </w:tc>
        <w:tc>
          <w:tcPr>
            <w:tcW w:type="dxa" w:w="2160"/>
          </w:tcPr>
          <w:p>
            <w:r>
              <w:rPr>
                <w:rFonts w:ascii="宋体" w:hAnsi="宋体" w:eastAsia="宋体"/>
                <w:sz w:val="20"/>
              </w:rPr>
            </w:r>
            <w:r>
              <w:rPr>
                <w:rFonts w:ascii="宋体" w:hAnsi="宋体" w:eastAsia="宋体"/>
                <w:sz w:val="20"/>
              </w:rPr>
              <w:t xml:space="preserve">第 </w:t>
            </w:r>
            <m:oMath>
              <m:r>
                <m:rPr>
                  <m:sty m:val="p"/>
                </m:rPr>
                <w:rPr>
                  <w:rFonts w:ascii="Cambria Math" w:hAnsi="Cambria Math" w:cs="Cambria Math" w:eastAsia="Cambria Math"/>
                </w:rPr>
                <m:t>m</m:t>
              </m:r>
            </m:oMath>
            <w:r>
              <w:rPr>
                <w:rFonts w:ascii="宋体" w:hAnsi="宋体" w:eastAsia="宋体"/>
                <w:sz w:val="20"/>
              </w:rPr>
              <w:t xml:space="preserve"> 轮渐进式放行阶段分配给自愈版本的金丝雀流量比例</w:t>
            </w:r>
          </w:p>
        </w:tc>
        <w:tc>
          <w:tcPr>
            <w:tcW w:type="dxa" w:w="2160"/>
          </w:tcPr>
          <w:p>
            <w:r>
              <w:rPr>
                <w:rFonts w:ascii="宋体" w:hAnsi="宋体" w:eastAsia="宋体"/>
                <w:sz w:val="20"/>
              </w:rPr>
            </w:r>
            <w:r>
              <w:rPr>
                <w:rFonts w:ascii="宋体" w:hAnsi="宋体" w:eastAsia="宋体"/>
                <w:sz w:val="20"/>
              </w:rPr>
              <w:t>无量纲</w:t>
            </w:r>
          </w:p>
        </w:tc>
        <w:tc>
          <w:tcPr>
            <w:tcW w:type="dxa" w:w="2160"/>
          </w:tcPr>
          <w:p>
            <w:r>
              <w:rPr>
                <w:rFonts w:ascii="宋体" w:hAnsi="宋体" w:eastAsia="宋体"/>
                <w:sz w:val="20"/>
              </w:rPr>
            </w:r>
            <m:oMath>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r>
      <w:tr>
        <w:tc>
          <w:tcPr>
            <w:tcW w:type="dxa" w:w="2160"/>
          </w:tcPr>
          <w:p>
            <w:r>
              <w:rPr>
                <w:rFonts w:ascii="宋体" w:hAnsi="宋体" w:eastAsia="宋体"/>
                <w:sz w:val="20"/>
              </w:rPr>
            </w:r>
            <m:oMath>
              <m:r>
                <m:rPr>
                  <m:sty m:val="p"/>
                </m:rPr>
                <w:rPr>
                  <w:rFonts w:ascii="Cambria Math" w:hAnsi="Cambria Math" w:cs="Cambria Math" w:eastAsia="Cambria Math"/>
                </w:rPr>
                <m:t>γ</m:t>
              </m:r>
            </m:oMath>
          </w:p>
        </w:tc>
        <w:tc>
          <w:tcPr>
            <w:tcW w:type="dxa" w:w="2160"/>
          </w:tcPr>
          <w:p>
            <w:r>
              <w:rPr>
                <w:rFonts w:ascii="宋体" w:hAnsi="宋体" w:eastAsia="宋体"/>
                <w:sz w:val="20"/>
              </w:rPr>
            </w:r>
            <w:r>
              <w:rPr>
                <w:rFonts w:ascii="宋体" w:hAnsi="宋体" w:eastAsia="宋体"/>
                <w:sz w:val="20"/>
              </w:rPr>
              <w:t>渐进式放行比例自适应步长调节增益系数</w:t>
            </w:r>
          </w:p>
        </w:tc>
        <w:tc>
          <w:tcPr>
            <w:tcW w:type="dxa" w:w="2160"/>
          </w:tcPr>
          <w:p>
            <w:r>
              <w:rPr>
                <w:rFonts w:ascii="宋体" w:hAnsi="宋体" w:eastAsia="宋体"/>
                <w:sz w:val="20"/>
              </w:rPr>
            </w:r>
            <w:r>
              <w:rPr>
                <w:rFonts w:ascii="宋体" w:hAnsi="宋体" w:eastAsia="宋体"/>
                <w:sz w:val="20"/>
              </w:rPr>
              <w:t>无量纲</w:t>
            </w:r>
          </w:p>
        </w:tc>
        <w:tc>
          <w:tcPr>
            <w:tcW w:type="dxa" w:w="2160"/>
          </w:tcPr>
          <w:p>
            <w:r>
              <w:rPr>
                <w:rFonts w:ascii="宋体" w:hAnsi="宋体" w:eastAsia="宋体"/>
                <w:sz w:val="20"/>
              </w:rPr>
            </w:r>
            <m:oMath>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r>
      <w:tr>
        <w:tc>
          <w:tcPr>
            <w:tcW w:type="dxa" w:w="2160"/>
          </w:tcPr>
          <w:p>
            <w:r>
              <w:rPr>
                <w:rFonts w:ascii="宋体" w:hAnsi="宋体" w:eastAsia="宋体"/>
                <w:sz w:val="20"/>
              </w:rPr>
            </w:r>
            <m:oMath>
              <m:sSub>
                <m:e>
                  <m:r>
                    <m:rPr>
                      <m:sty m:val="p"/>
                    </m:rPr>
                    <w:rPr>
                      <w:rFonts w:ascii="Cambria Math" w:hAnsi="Cambria Math" w:cs="Cambria Math" w:eastAsia="Cambria Math"/>
                    </w:rPr>
                    <m:t>τ</m:t>
                  </m:r>
                </m:e>
                <m:sub>
                  <m:r>
                    <m:rPr>
                      <m:sty m:val="p"/>
                    </m:rPr>
                    <w:rPr>
                      <w:rFonts w:ascii="Cambria Math" w:hAnsi="Cambria Math" w:cs="Cambria Math" w:eastAsia="Cambria Math"/>
                    </w:rPr>
                    <m:t>p</m:t>
                  </m:r>
                  <m:r>
                    <m:rPr>
                      <m:sty m:val="p"/>
                    </m:rPr>
                    <w:rPr>
                      <w:rFonts w:ascii="Cambria Math" w:hAnsi="Cambria Math" w:cs="Cambria Math" w:eastAsia="Cambria Math"/>
                    </w:rPr>
                    <m:t>a</m:t>
                  </m:r>
                  <m:r>
                    <m:rPr>
                      <m:sty m:val="p"/>
                    </m:rPr>
                    <w:rPr>
                      <w:rFonts w:ascii="Cambria Math" w:hAnsi="Cambria Math" w:cs="Cambria Math" w:eastAsia="Cambria Math"/>
                    </w:rPr>
                    <m:t>s</m:t>
                  </m:r>
                  <m:r>
                    <m:rPr>
                      <m:sty m:val="p"/>
                    </m:rPr>
                    <w:rPr>
                      <w:rFonts w:ascii="Cambria Math" w:hAnsi="Cambria Math" w:cs="Cambria Math" w:eastAsia="Cambria Math"/>
                    </w:rPr>
                    <m:t>s</m:t>
                  </m:r>
                </m:sub>
              </m:sSub>
            </m:oMath>
          </w:p>
        </w:tc>
        <w:tc>
          <w:tcPr>
            <w:tcW w:type="dxa" w:w="2160"/>
          </w:tcPr>
          <w:p>
            <w:r>
              <w:rPr>
                <w:rFonts w:ascii="宋体" w:hAnsi="宋体" w:eastAsia="宋体"/>
                <w:sz w:val="20"/>
              </w:rPr>
            </w:r>
            <w:r>
              <w:rPr>
                <w:rFonts w:ascii="宋体" w:hAnsi="宋体" w:eastAsia="宋体"/>
                <w:sz w:val="20"/>
              </w:rPr>
              <w:t>触发金丝雀放行递增的最小健康度准入阈值</w:t>
            </w:r>
          </w:p>
        </w:tc>
        <w:tc>
          <w:tcPr>
            <w:tcW w:type="dxa" w:w="2160"/>
          </w:tcPr>
          <w:p>
            <w:r>
              <w:rPr>
                <w:rFonts w:ascii="宋体" w:hAnsi="宋体" w:eastAsia="宋体"/>
                <w:sz w:val="20"/>
              </w:rPr>
            </w:r>
            <w:r>
              <w:rPr>
                <w:rFonts w:ascii="宋体" w:hAnsi="宋体" w:eastAsia="宋体"/>
                <w:sz w:val="20"/>
              </w:rPr>
              <w:t>无量纲</w:t>
            </w:r>
          </w:p>
        </w:tc>
        <w:tc>
          <w:tcPr>
            <w:tcW w:type="dxa" w:w="2160"/>
          </w:tcPr>
          <w:p>
            <w:r>
              <w:rPr>
                <w:rFonts w:ascii="宋体" w:hAnsi="宋体" w:eastAsia="宋体"/>
                <w:sz w:val="20"/>
              </w:rPr>
            </w:r>
            <m:oMath>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r>
      <w:tr>
        <w:tc>
          <w:tcPr>
            <w:tcW w:type="dxa" w:w="2160"/>
          </w:tcPr>
          <w:p>
            <w:r>
              <w:rPr>
                <w:rFonts w:ascii="宋体" w:hAnsi="宋体" w:eastAsia="宋体"/>
                <w:sz w:val="20"/>
              </w:rPr>
            </w:r>
            <m:oMath>
              <m:sSub>
                <m:e>
                  <m:r>
                    <m:rPr>
                      <m:sty m:val="p"/>
                    </m:rPr>
                    <w:rPr>
                      <w:rFonts w:ascii="Cambria Math" w:hAnsi="Cambria Math" w:cs="Cambria Math" w:eastAsia="Cambria Math"/>
                    </w:rPr>
                    <m:t>τ</m:t>
                  </m:r>
                </m:e>
                <m:sub>
                  <m:r>
                    <m:rPr>
                      <m:sty m:val="p"/>
                    </m:rPr>
                    <w:rPr>
                      <w:rFonts w:ascii="Cambria Math" w:hAnsi="Cambria Math" w:cs="Cambria Math" w:eastAsia="Cambria Math"/>
                    </w:rPr>
                    <m:t>r</m:t>
                  </m:r>
                  <m:r>
                    <m:rPr>
                      <m:sty m:val="p"/>
                    </m:rPr>
                    <w:rPr>
                      <w:rFonts w:ascii="Cambria Math" w:hAnsi="Cambria Math" w:cs="Cambria Math" w:eastAsia="Cambria Math"/>
                    </w:rPr>
                    <m:t>o</m:t>
                  </m:r>
                  <m:r>
                    <m:rPr>
                      <m:sty m:val="p"/>
                    </m:rPr>
                    <w:rPr>
                      <w:rFonts w:ascii="Cambria Math" w:hAnsi="Cambria Math" w:cs="Cambria Math" w:eastAsia="Cambria Math"/>
                    </w:rPr>
                    <m:t>l</m:t>
                  </m:r>
                  <m:r>
                    <m:rPr>
                      <m:sty m:val="p"/>
                    </m:rPr>
                    <w:rPr>
                      <w:rFonts w:ascii="Cambria Math" w:hAnsi="Cambria Math" w:cs="Cambria Math" w:eastAsia="Cambria Math"/>
                    </w:rPr>
                    <m:t>l</m:t>
                  </m:r>
                  <m:r>
                    <m:rPr>
                      <m:sty m:val="p"/>
                    </m:rPr>
                    <w:rPr>
                      <w:rFonts w:ascii="Cambria Math" w:hAnsi="Cambria Math" w:cs="Cambria Math" w:eastAsia="Cambria Math"/>
                    </w:rPr>
                    <m:t>b</m:t>
                  </m:r>
                  <m:r>
                    <m:rPr>
                      <m:sty m:val="p"/>
                    </m:rPr>
                    <w:rPr>
                      <w:rFonts w:ascii="Cambria Math" w:hAnsi="Cambria Math" w:cs="Cambria Math" w:eastAsia="Cambria Math"/>
                    </w:rPr>
                    <m:t>a</m:t>
                  </m:r>
                  <m:r>
                    <m:rPr>
                      <m:sty m:val="p"/>
                    </m:rPr>
                    <w:rPr>
                      <w:rFonts w:ascii="Cambria Math" w:hAnsi="Cambria Math" w:cs="Cambria Math" w:eastAsia="Cambria Math"/>
                    </w:rPr>
                    <m:t>c</m:t>
                  </m:r>
                  <m:r>
                    <m:rPr>
                      <m:sty m:val="p"/>
                    </m:rPr>
                    <w:rPr>
                      <w:rFonts w:ascii="Cambria Math" w:hAnsi="Cambria Math" w:cs="Cambria Math" w:eastAsia="Cambria Math"/>
                    </w:rPr>
                    <m:t>k</m:t>
                  </m:r>
                </m:sub>
              </m:sSub>
            </m:oMath>
          </w:p>
        </w:tc>
        <w:tc>
          <w:tcPr>
            <w:tcW w:type="dxa" w:w="2160"/>
          </w:tcPr>
          <w:p>
            <w:r>
              <w:rPr>
                <w:rFonts w:ascii="宋体" w:hAnsi="宋体" w:eastAsia="宋体"/>
                <w:sz w:val="20"/>
              </w:rPr>
            </w:r>
            <w:r>
              <w:rPr>
                <w:rFonts w:ascii="宋体" w:hAnsi="宋体" w:eastAsia="宋体"/>
                <w:sz w:val="20"/>
              </w:rPr>
              <w:t>触发安全熔断与秒级原子回滚的健康度低限阈值</w:t>
            </w:r>
          </w:p>
        </w:tc>
        <w:tc>
          <w:tcPr>
            <w:tcW w:type="dxa" w:w="2160"/>
          </w:tcPr>
          <w:p>
            <w:r>
              <w:rPr>
                <w:rFonts w:ascii="宋体" w:hAnsi="宋体" w:eastAsia="宋体"/>
                <w:sz w:val="20"/>
              </w:rPr>
            </w:r>
            <w:r>
              <w:rPr>
                <w:rFonts w:ascii="宋体" w:hAnsi="宋体" w:eastAsia="宋体"/>
                <w:sz w:val="20"/>
              </w:rPr>
              <w:t>无量纲</w:t>
            </w:r>
          </w:p>
        </w:tc>
        <w:tc>
          <w:tcPr>
            <w:tcW w:type="dxa" w:w="2160"/>
          </w:tcPr>
          <w:p>
            <w:r>
              <w:rPr>
                <w:rFonts w:ascii="宋体" w:hAnsi="宋体" w:eastAsia="宋体"/>
                <w:sz w:val="20"/>
              </w:rPr>
            </w:r>
            <m:oMath>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r>
    </w:tbl>
    <w:p>
      <w:pPr>
        <w:pStyle w:val="Heading4"/>
      </w:pPr>
      <w:r>
        <w:rPr>
          <w:rFonts w:ascii="宋体" w:hAnsi="宋体" w:eastAsia="宋体"/>
        </w:rPr>
        <w:t>（3）核心数学计算公式</w:t>
      </w:r>
    </w:p>
    <w:p>
      <w:pPr>
        <w:pStyle w:val="ListNumber"/>
        <w:spacing w:after="60"/>
        <w:numPr>
          <w:ilvl w:val="0"/>
          <w:numId w:val="14"/>
        </w:numPr>
      </w:pPr>
      <w:r>
        <w:rPr>
          <w:rFonts w:ascii="宋体" w:hAnsi="宋体" w:eastAsia="宋体"/>
          <w:b/>
          <w:sz w:val="21"/>
        </w:rPr>
        <w:t>自愈操作爆炸半径量化评分公式</w:t>
      </w:r>
      <w:r>
        <w:rPr>
          <w:rFonts w:ascii="宋体" w:hAnsi="宋体" w:eastAsia="宋体"/>
          <w:sz w:val="21"/>
        </w:rPr>
        <w:t>：</w:t>
      </w:r>
    </w:p>
    <w:p>
      <w:pPr>
        <w:spacing w:after="120" w:line="276" w:lineRule="auto"/>
      </w:pPr>
      <w:r>
        <w:rPr>
          <w:rFonts w:ascii="宋体" w:hAnsi="宋体" w:eastAsia="宋体"/>
          <w:sz w:val="21"/>
        </w:rPr>
        <w:t xml:space="preserve">安全风控智能体针对自愈规划 DAG 中每一个原子动作 </w:t>
      </w:r>
      <m:oMath>
        <m:r>
          <m:rPr>
            <m:sty m:val="p"/>
          </m:rPr>
          <w:rPr>
            <w:rFonts w:ascii="Cambria Math" w:hAnsi="Cambria Math" w:cs="Cambria Math" w:eastAsia="Cambria Math"/>
          </w:rPr>
          <m:t>k</m:t>
        </m:r>
      </m:oMath>
      <w:r>
        <w:rPr>
          <w:rFonts w:ascii="宋体" w:hAnsi="宋体" w:eastAsia="宋体"/>
          <w:sz w:val="21"/>
        </w:rPr>
        <w:t xml:space="preserve">，根据其在微服务调用拓扑树中的扇出可达范围、资源操作破坏性及业务关键度，计算综合爆炸半径风险评分 </w:t>
      </w:r>
      <m:oMath>
        <m:sSub>
          <m:e>
            <m:r>
              <m:rPr>
                <m:sty m:val="p"/>
              </m:rPr>
              <w:rPr>
                <w:rFonts w:ascii="Cambria Math" w:hAnsi="Cambria Math" w:cs="Cambria Math" w:eastAsia="Cambria Math"/>
              </w:rPr>
              <m:t>B</m:t>
            </m:r>
          </m:e>
          <m:sub>
            <m:r>
              <m:rPr>
                <m:sty m:val="p"/>
              </m:rPr>
              <w:rPr>
                <w:rFonts w:ascii="Cambria Math" w:hAnsi="Cambria Math" w:cs="Cambria Math" w:eastAsia="Cambria Math"/>
              </w:rPr>
              <m:t>k</m:t>
            </m:r>
          </m:sub>
        </m:sSub>
      </m:oMath>
      <w:r>
        <w:rPr>
          <w:rFonts w:ascii="宋体" w:hAnsi="宋体" w:eastAsia="宋体"/>
          <w:sz w:val="21"/>
        </w:rPr>
        <w:t>：</w:t>
      </w:r>
    </w:p>
    <w:p>
      <w:pPr>
        <w:spacing w:before="60" w:after="120"/>
        <w:jc w:val="center"/>
      </w:pPr>
      <m:oMathPara>
        <m:oMath>
          <m:sSub>
            <m:e>
              <m:r>
                <m:rPr>
                  <m:sty m:val="p"/>
                </m:rPr>
                <w:rPr>
                  <w:rFonts w:ascii="Cambria Math" w:hAnsi="Cambria Math" w:cs="Cambria Math" w:eastAsia="Cambria Math"/>
                </w:rPr>
                <m:t>B</m:t>
              </m:r>
            </m:e>
            <m:sub>
              <m:r>
                <m:rPr>
                  <m:sty m:val="p"/>
                </m:rPr>
                <w:rPr>
                  <w:rFonts w:ascii="Cambria Math" w:hAnsi="Cambria Math" w:cs="Cambria Math" w:eastAsia="Cambria Math"/>
                </w:rPr>
                <m:t>k</m:t>
              </m:r>
            </m:sub>
          </m:sSub>
          <m:r>
            <m:rPr>
              <m:sty m:val="p"/>
            </m:rPr>
            <w:rPr>
              <w:rFonts w:ascii="Cambria Math" w:hAnsi="Cambria Math" w:cs="Cambria Math" w:eastAsia="Cambria Math"/>
            </w:rPr>
            <m:t>=</m:t>
          </m:r>
          <m:sSub>
            <m:e>
              <m:r>
                <m:rPr>
                  <m:sty m:val="p"/>
                </m:rPr>
                <w:rPr>
                  <w:rFonts w:ascii="Cambria Math" w:hAnsi="Cambria Math" w:cs="Cambria Math" w:eastAsia="Cambria Math"/>
                </w:rPr>
                <m:t>w</m:t>
              </m:r>
            </m:e>
            <m:sub>
              <m:r>
                <m:rPr>
                  <m:sty m:val="p"/>
                </m:rPr>
                <w:rPr>
                  <w:rFonts w:ascii="Cambria Math" w:hAnsi="Cambria Math" w:cs="Cambria Math" w:eastAsia="Cambria Math"/>
                </w:rPr>
                <m:t>1</m:t>
              </m:r>
            </m:sub>
          </m:sSub>
          <m:r>
            <m:rPr>
              <m:sty m:val="p"/>
            </m:rPr>
            <w:rPr>
              <w:rFonts w:ascii="Cambria Math" w:hAnsi="Cambria Math" w:cs="Cambria Math" w:eastAsia="Cambria Math"/>
            </w:rPr>
            <m:t>·</m:t>
          </m:r>
          <m:sSubSup>
            <m:e>
              <m:r>
                <m:rPr>
                  <m:sty m:val="p"/>
                </m:rPr>
                <w:rPr>
                  <w:rFonts w:ascii="Cambria Math" w:hAnsi="Cambria Math" w:cs="Cambria Math" w:eastAsia="Cambria Math"/>
                </w:rPr>
                <m:t>F</m:t>
              </m:r>
            </m:e>
            <m:sub>
              <m:r>
                <m:rPr>
                  <m:sty m:val="p"/>
                </m:rPr>
                <w:rPr>
                  <w:rFonts w:ascii="Cambria Math" w:hAnsi="Cambria Math" w:cs="Cambria Math" w:eastAsia="Cambria Math"/>
                </w:rPr>
                <m:t>k</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r>
            <m:rPr>
              <m:sty m:val="p"/>
            </m:rPr>
            <w:rPr>
              <w:rFonts w:ascii="Cambria Math" w:hAnsi="Cambria Math" w:cs="Cambria Math" w:eastAsia="Cambria Math"/>
            </w:rPr>
            <m:t>+</m:t>
          </m:r>
          <m:sSub>
            <m:e>
              <m:r>
                <m:rPr>
                  <m:sty m:val="p"/>
                </m:rPr>
                <w:rPr>
                  <w:rFonts w:ascii="Cambria Math" w:hAnsi="Cambria Math" w:cs="Cambria Math" w:eastAsia="Cambria Math"/>
                </w:rPr>
                <m:t>w</m:t>
              </m:r>
            </m:e>
            <m:sub>
              <m:r>
                <m:rPr>
                  <m:sty m:val="p"/>
                </m:rPr>
                <w:rPr>
                  <w:rFonts w:ascii="Cambria Math" w:hAnsi="Cambria Math" w:cs="Cambria Math" w:eastAsia="Cambria Math"/>
                </w:rPr>
                <m:t>2</m:t>
              </m:r>
            </m:sub>
          </m:sSub>
          <m:r>
            <m:rPr>
              <m:sty m:val="p"/>
            </m:rPr>
            <w:rPr>
              <w:rFonts w:ascii="Cambria Math" w:hAnsi="Cambria Math" w:cs="Cambria Math" w:eastAsia="Cambria Math"/>
            </w:rPr>
            <m:t>·</m:t>
          </m:r>
          <m:sSubSup>
            <m:e>
              <m:r>
                <m:rPr>
                  <m:sty m:val="p"/>
                </m:rPr>
                <w:rPr>
                  <w:rFonts w:ascii="Cambria Math" w:hAnsi="Cambria Math" w:cs="Cambria Math" w:eastAsia="Cambria Math"/>
                </w:rPr>
                <m:t>W</m:t>
              </m:r>
            </m:e>
            <m:sub>
              <m:r>
                <m:rPr>
                  <m:sty m:val="p"/>
                </m:rPr>
                <w:rPr>
                  <w:rFonts w:ascii="Cambria Math" w:hAnsi="Cambria Math" w:cs="Cambria Math" w:eastAsia="Cambria Math"/>
                </w:rPr>
                <m:t>k</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r>
            <m:rPr>
              <m:sty m:val="p"/>
            </m:rPr>
            <w:rPr>
              <w:rFonts w:ascii="Cambria Math" w:hAnsi="Cambria Math" w:cs="Cambria Math" w:eastAsia="Cambria Math"/>
            </w:rPr>
            <m:t>+</m:t>
          </m:r>
          <m:sSub>
            <m:e>
              <m:r>
                <m:rPr>
                  <m:sty m:val="p"/>
                </m:rPr>
                <w:rPr>
                  <w:rFonts w:ascii="Cambria Math" w:hAnsi="Cambria Math" w:cs="Cambria Math" w:eastAsia="Cambria Math"/>
                </w:rPr>
                <m:t>w</m:t>
              </m:r>
            </m:e>
            <m:sub>
              <m:r>
                <m:rPr>
                  <m:sty m:val="p"/>
                </m:rPr>
                <w:rPr>
                  <w:rFonts w:ascii="Cambria Math" w:hAnsi="Cambria Math" w:cs="Cambria Math" w:eastAsia="Cambria Math"/>
                </w:rPr>
                <m:t>3</m:t>
              </m:r>
            </m:sub>
          </m:sSub>
          <m:r>
            <m:rPr>
              <m:sty m:val="p"/>
            </m:rPr>
            <w:rPr>
              <w:rFonts w:ascii="Cambria Math" w:hAnsi="Cambria Math" w:cs="Cambria Math" w:eastAsia="Cambria Math"/>
            </w:rPr>
            <m:t>·</m:t>
          </m:r>
          <m:sSubSup>
            <m:e>
              <m:r>
                <m:rPr>
                  <m:sty m:val="p"/>
                </m:rPr>
                <w:rPr>
                  <w:rFonts w:ascii="Cambria Math" w:hAnsi="Cambria Math" w:cs="Cambria Math" w:eastAsia="Cambria Math"/>
                </w:rPr>
                <m:t>I</m:t>
              </m:r>
            </m:e>
            <m:sub>
              <m:r>
                <m:rPr>
                  <m:sty m:val="p"/>
                </m:rPr>
                <w:rPr>
                  <w:rFonts w:ascii="Cambria Math" w:hAnsi="Cambria Math" w:cs="Cambria Math" w:eastAsia="Cambria Math"/>
                </w:rPr>
                <m:t>k</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r>
            <m:rPr>
              <m:sty m:val="p"/>
            </m:rPr>
            <w:rPr>
              <w:rFonts w:ascii="Cambria Math" w:hAnsi="Cambria Math" w:cs="Cambria Math" w:eastAsia="Cambria Math"/>
            </w:rPr>
            <m:t> </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m:oMathPara>
    </w:p>
    <w:p>
      <w:pPr>
        <w:spacing w:after="120" w:line="276" w:lineRule="auto"/>
      </w:pPr>
      <w:r>
        <w:rPr>
          <w:rFonts w:ascii="宋体" w:hAnsi="宋体" w:eastAsia="宋体"/>
          <w:sz w:val="21"/>
        </w:rPr>
        <w:t xml:space="preserve">当存在任一操作满足 </w:t>
      </w:r>
      <m:oMath>
        <m:sSub>
          <m:e>
            <m:r>
              <m:rPr>
                <m:sty m:val="p"/>
              </m:rPr>
              <w:rPr>
                <w:rFonts w:ascii="Cambria Math" w:hAnsi="Cambria Math" w:cs="Cambria Math" w:eastAsia="Cambria Math"/>
              </w:rPr>
              <m:t>B</m:t>
            </m:r>
          </m:e>
          <m:sub>
            <m:r>
              <m:rPr>
                <m:sty m:val="p"/>
              </m:rPr>
              <w:rPr>
                <w:rFonts w:ascii="Cambria Math" w:hAnsi="Cambria Math" w:cs="Cambria Math" w:eastAsia="Cambria Math"/>
              </w:rPr>
              <m:t>k</m:t>
            </m:r>
          </m:sub>
        </m:sSub>
        <m:r>
          <m:rPr>
            <m:sty m:val="p"/>
          </m:rPr>
          <w:rPr>
            <w:rFonts w:ascii="Cambria Math" w:hAnsi="Cambria Math" w:cs="Cambria Math" w:eastAsia="Cambria Math"/>
          </w:rPr>
          <m:t>&gt;</m:t>
        </m:r>
        <m:sSub>
          <m:e>
            <m:r>
              <m:rPr>
                <m:sty m:val="p"/>
              </m:rPr>
              <w:rPr>
                <w:rFonts w:ascii="Cambria Math" w:hAnsi="Cambria Math" w:cs="Cambria Math" w:eastAsia="Cambria Math"/>
              </w:rPr>
              <m:t>τ</m:t>
            </m:r>
          </m:e>
          <m:sub>
            <m:r>
              <m:rPr>
                <m:sty m:val="p"/>
              </m:rPr>
              <w:rPr>
                <w:rFonts w:ascii="Cambria Math" w:hAnsi="Cambria Math" w:cs="Cambria Math" w:eastAsia="Cambria Math"/>
              </w:rPr>
              <m:t>b</m:t>
            </m:r>
            <m:r>
              <m:rPr>
                <m:sty m:val="p"/>
              </m:rPr>
              <w:rPr>
                <w:rFonts w:ascii="Cambria Math" w:hAnsi="Cambria Math" w:cs="Cambria Math" w:eastAsia="Cambria Math"/>
              </w:rPr>
              <m:t>l</m:t>
            </m:r>
            <m:r>
              <m:rPr>
                <m:sty m:val="p"/>
              </m:rPr>
              <w:rPr>
                <w:rFonts w:ascii="Cambria Math" w:hAnsi="Cambria Math" w:cs="Cambria Math" w:eastAsia="Cambria Math"/>
              </w:rPr>
              <m:t>a</m:t>
            </m:r>
            <m:r>
              <m:rPr>
                <m:sty m:val="p"/>
              </m:rPr>
              <w:rPr>
                <w:rFonts w:ascii="Cambria Math" w:hAnsi="Cambria Math" w:cs="Cambria Math" w:eastAsia="Cambria Math"/>
              </w:rPr>
              <m:t>s</m:t>
            </m:r>
            <m:r>
              <m:rPr>
                <m:sty m:val="p"/>
              </m:rPr>
              <w:rPr>
                <w:rFonts w:ascii="Cambria Math" w:hAnsi="Cambria Math" w:cs="Cambria Math" w:eastAsia="Cambria Math"/>
              </w:rPr>
              <m:t>t</m:t>
            </m:r>
          </m:sub>
        </m:sSub>
      </m:oMath>
      <w:r>
        <w:rPr>
          <w:rFonts w:ascii="宋体" w:hAnsi="宋体" w:eastAsia="宋体"/>
          <w:sz w:val="21"/>
        </w:rPr>
        <w:t>（预设爆炸半径容忍上限）时，安全风控智能体立即阻断该自愈 DAG 并要求规划智能体反思重算。</w:t>
      </w:r>
    </w:p>
    <w:p>
      <w:pPr>
        <w:pStyle w:val="ListNumber"/>
        <w:spacing w:after="60"/>
        <w:numPr>
          <w:ilvl w:val="0"/>
          <w:numId w:val="14"/>
        </w:numPr>
      </w:pPr>
      <w:r>
        <w:rPr>
          <w:rFonts w:ascii="宋体" w:hAnsi="宋体" w:eastAsia="宋体"/>
          <w:b/>
          <w:sz w:val="21"/>
        </w:rPr>
        <w:t>金丝雀指标指数滑动平滑公式</w:t>
      </w:r>
      <w:r>
        <w:rPr>
          <w:rFonts w:ascii="宋体" w:hAnsi="宋体" w:eastAsia="宋体"/>
          <w:sz w:val="21"/>
        </w:rPr>
        <w:t>：</w:t>
      </w:r>
    </w:p>
    <w:p>
      <w:pPr>
        <w:spacing w:after="120" w:line="276" w:lineRule="auto"/>
      </w:pPr>
      <w:r>
        <w:rPr>
          <w:rFonts w:ascii="宋体" w:hAnsi="宋体" w:eastAsia="宋体"/>
          <w:sz w:val="21"/>
        </w:rPr>
        <w:t>为避免微服务瞬时网络毛刺或冷启动瞬间个别慢请求对评估造成干扰，对瞬时指标采用指数移动平均进行平滑：</w:t>
      </w:r>
    </w:p>
    <w:p>
      <w:pPr>
        <w:spacing w:before="60" w:after="120"/>
        <w:jc w:val="center"/>
      </w:pPr>
      <m:oMathPara>
        <m:oMath>
          <m:sSub>
            <m:e>
              <m:r>
                <m:rPr>
                  <m:sty m:val="p"/>
                </m:rPr>
                <w:rPr>
                  <w:rFonts w:ascii="Cambria Math" w:hAnsi="Cambria Math" w:cs="Cambria Math" w:eastAsia="Cambria Math"/>
                </w:rPr>
                <m:t>H</m:t>
              </m:r>
            </m:e>
            <m:sub>
              <m:r>
                <m:rPr>
                  <m:sty m:val="p"/>
                </m:rPr>
                <w:rPr>
                  <w:rFonts w:ascii="Cambria Math" w:hAnsi="Cambria Math" w:cs="Cambria Math" w:eastAsia="Cambria Math"/>
                </w:rPr>
                <m:t>t</m:t>
              </m:r>
            </m:sub>
          </m:sSub>
          <m:r>
            <m:rPr>
              <m:sty m:val="p"/>
            </m:rPr>
            <w:rPr>
              <w:rFonts w:ascii="Cambria Math" w:hAnsi="Cambria Math" w:cs="Cambria Math" w:eastAsia="Cambria Math"/>
            </w:rPr>
            <m:t>=</m:t>
          </m:r>
          <m:r>
            <m:rPr>
              <m:sty m:val="p"/>
            </m:rPr>
            <w:rPr>
              <w:rFonts w:ascii="Cambria Math" w:hAnsi="Cambria Math" w:cs="Cambria Math" w:eastAsia="Cambria Math"/>
            </w:rPr>
            <m:t>ρ</m:t>
          </m:r>
          <m:r>
            <m:rPr>
              <m:sty m:val="p"/>
            </m:rPr>
            <w:rPr>
              <w:rFonts w:ascii="Cambria Math" w:hAnsi="Cambria Math" w:cs="Cambria Math" w:eastAsia="Cambria Math"/>
            </w:rPr>
            <m:t>·</m:t>
          </m:r>
          <m:sSub>
            <m:e>
              <m:r>
                <m:rPr>
                  <m:sty m:val="p"/>
                </m:rPr>
                <w:rPr>
                  <w:rFonts w:ascii="Cambria Math" w:hAnsi="Cambria Math" w:cs="Cambria Math" w:eastAsia="Cambria Math"/>
                </w:rPr>
                <m:t>H</m:t>
              </m:r>
            </m:e>
            <m:sub>
              <m:r>
                <m:rPr>
                  <m:sty m:val="p"/>
                </m:rPr>
                <w:rPr>
                  <w:rFonts w:ascii="Cambria Math" w:hAnsi="Cambria Math" w:cs="Cambria Math" w:eastAsia="Cambria Math"/>
                </w:rPr>
                <m:t>t</m:t>
              </m:r>
              <m:r>
                <m:rPr>
                  <m:sty m:val="p"/>
                </m:rPr>
                <w:rPr>
                  <w:rFonts w:ascii="Cambria Math" w:hAnsi="Cambria Math" w:cs="Cambria Math" w:eastAsia="Cambria Math"/>
                </w:rPr>
                <m:t>−</m:t>
              </m:r>
              <m:r>
                <m:rPr>
                  <m:sty m:val="p"/>
                </m:rPr>
                <w:rPr>
                  <w:rFonts w:ascii="Cambria Math" w:hAnsi="Cambria Math" w:cs="Cambria Math" w:eastAsia="Cambria Math"/>
                </w:rPr>
                <m:t>1</m:t>
              </m:r>
            </m:sub>
          </m:sSub>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r>
            <m:rPr>
              <m:sty m:val="p"/>
            </m:rPr>
            <w:rPr>
              <w:rFonts w:ascii="Cambria Math" w:hAnsi="Cambria Math" w:cs="Cambria Math" w:eastAsia="Cambria Math"/>
            </w:rPr>
            <m:t>ρ</m:t>
          </m:r>
          <m:r>
            <m:rPr>
              <m:sty m:val="p"/>
            </m:rPr>
            <w:rPr>
              <w:rFonts w:ascii="Cambria Math" w:hAnsi="Cambria Math" w:cs="Cambria Math" w:eastAsia="Cambria Math"/>
            </w:rPr>
            <m:t>)</m:t>
          </m:r>
          <m:r>
            <m:rPr>
              <m:sty m:val="p"/>
            </m:rPr>
            <w:rPr>
              <w:rFonts w:ascii="Cambria Math" w:hAnsi="Cambria Math" w:cs="Cambria Math" w:eastAsia="Cambria Math"/>
            </w:rPr>
            <m:t>·</m:t>
          </m:r>
          <m:sSub>
            <m:e>
              <m:r>
                <m:rPr>
                  <m:sty m:val="p"/>
                </m:rPr>
                <w:rPr>
                  <w:rFonts w:ascii="Cambria Math" w:hAnsi="Cambria Math" w:cs="Cambria Math" w:eastAsia="Cambria Math"/>
                </w:rPr>
                <m:t>h</m:t>
              </m:r>
            </m:e>
            <m:sub>
              <m:r>
                <m:rPr>
                  <m:sty m:val="p"/>
                </m:rPr>
                <w:rPr>
                  <w:rFonts w:ascii="Cambria Math" w:hAnsi="Cambria Math" w:cs="Cambria Math" w:eastAsia="Cambria Math"/>
                </w:rPr>
                <m:t>t</m:t>
              </m:r>
            </m:sub>
          </m:sSub>
          <m:r>
            <m:rPr>
              <m:sty m:val="p"/>
            </m:rPr>
            <w:rPr>
              <w:rFonts w:ascii="Cambria Math" w:hAnsi="Cambria Math" w:cs="Cambria Math" w:eastAsia="Cambria Math"/>
            </w:rPr>
            <m:t> </m:t>
          </m:r>
          <m:r>
            <m:rPr>
              <m:sty m:val="p"/>
            </m:rPr>
            <w:rPr>
              <w:rFonts w:ascii="Cambria Math" w:hAnsi="Cambria Math" w:cs="Cambria Math" w:eastAsia="Cambria Math"/>
            </w:rPr>
            <m:t>(</m:t>
          </m:r>
          <m:r>
            <m:rPr>
              <m:sty m:val="p"/>
            </m:rPr>
            <w:rPr>
              <w:rFonts w:ascii="Cambria Math" w:hAnsi="Cambria Math" w:cs="Cambria Math" w:eastAsia="Cambria Math"/>
            </w:rPr>
            <m:t>2</m:t>
          </m:r>
          <m:r>
            <m:rPr>
              <m:sty m:val="p"/>
            </m:rPr>
            <w:rPr>
              <w:rFonts w:ascii="Cambria Math" w:hAnsi="Cambria Math" w:cs="Cambria Math" w:eastAsia="Cambria Math"/>
            </w:rPr>
            <m:t>)</m:t>
          </m:r>
        </m:oMath>
      </m:oMathPara>
    </w:p>
    <w:p>
      <w:pPr>
        <w:pStyle w:val="ListNumber"/>
        <w:spacing w:after="60"/>
        <w:numPr>
          <w:ilvl w:val="0"/>
          <w:numId w:val="14"/>
        </w:numPr>
      </w:pPr>
      <w:r>
        <w:rPr>
          <w:rFonts w:ascii="宋体" w:hAnsi="宋体" w:eastAsia="宋体"/>
          <w:b/>
          <w:sz w:val="21"/>
        </w:rPr>
        <w:t>金丝雀节点综合健康度评分公式</w:t>
      </w:r>
      <w:r>
        <w:rPr>
          <w:rFonts w:ascii="宋体" w:hAnsi="宋体" w:eastAsia="宋体"/>
          <w:sz w:val="21"/>
        </w:rPr>
        <w:t>：</w:t>
      </w:r>
    </w:p>
    <w:p>
      <w:pPr>
        <w:spacing w:after="120" w:line="276" w:lineRule="auto"/>
      </w:pPr>
      <w:r>
        <w:rPr>
          <w:rFonts w:ascii="宋体" w:hAnsi="宋体" w:eastAsia="宋体"/>
          <w:sz w:val="21"/>
        </w:rPr>
        <w:t xml:space="preserve">基于平滑处理后的请求错误率、时延抖动与告警级别，计算金丝雀沙箱在第 </w:t>
      </w:r>
      <m:oMath>
        <m:r>
          <m:rPr>
            <m:sty m:val="p"/>
          </m:rPr>
          <w:rPr>
            <w:rFonts w:ascii="Cambria Math" w:hAnsi="Cambria Math" w:cs="Cambria Math" w:eastAsia="Cambria Math"/>
          </w:rPr>
          <m:t>t</m:t>
        </m:r>
      </m:oMath>
      <w:r>
        <w:rPr>
          <w:rFonts w:ascii="宋体" w:hAnsi="宋体" w:eastAsia="宋体"/>
          <w:sz w:val="21"/>
        </w:rPr>
        <w:t xml:space="preserve"> 监控周期的健康度综合评分 </w:t>
      </w:r>
      <m:oMath>
        <m:sSub>
          <m:e>
            <m:r>
              <m:rPr>
                <m:sty m:val="p"/>
              </m:rPr>
              <w:rPr>
                <w:rFonts w:ascii="Cambria Math" w:hAnsi="Cambria Math" w:cs="Cambria Math" w:eastAsia="Cambria Math"/>
              </w:rPr>
              <m:t>S</m:t>
            </m:r>
          </m:e>
          <m:sub>
            <m:r>
              <m:rPr>
                <m:sty m:val="p"/>
              </m:rPr>
              <w:rPr>
                <w:rFonts w:ascii="Cambria Math" w:hAnsi="Cambria Math" w:cs="Cambria Math" w:eastAsia="Cambria Math"/>
              </w:rPr>
              <m:t>t</m:t>
            </m:r>
          </m:sub>
        </m:sSub>
      </m:oMath>
      <w:r>
        <w:rPr>
          <w:rFonts w:ascii="宋体" w:hAnsi="宋体" w:eastAsia="宋体"/>
          <w:sz w:val="21"/>
        </w:rPr>
        <w:t>：</w:t>
      </w:r>
    </w:p>
    <w:p>
      <w:pPr>
        <w:spacing w:before="60" w:after="120"/>
        <w:jc w:val="center"/>
      </w:pPr>
      <m:oMathPara>
        <m:oMath>
          <m:sSub>
            <m:e>
              <m:r>
                <m:rPr>
                  <m:sty m:val="p"/>
                </m:rPr>
                <w:rPr>
                  <w:rFonts w:ascii="Cambria Math" w:hAnsi="Cambria Math" w:cs="Cambria Math" w:eastAsia="Cambria Math"/>
                </w:rPr>
                <m:t>S</m:t>
              </m:r>
            </m:e>
            <m:sub>
              <m:r>
                <m:rPr>
                  <m:sty m:val="p"/>
                </m:rPr>
                <w:rPr>
                  <w:rFonts w:ascii="Cambria Math" w:hAnsi="Cambria Math" w:cs="Cambria Math" w:eastAsia="Cambria Math"/>
                </w:rPr>
                <m:t>t</m:t>
              </m:r>
            </m:sub>
          </m:sSub>
          <m:r>
            <m:rPr>
              <m:sty m:val="p"/>
            </m:rPr>
            <w:rPr>
              <w:rFonts w:ascii="Cambria Math" w:hAnsi="Cambria Math" w:cs="Cambria Math" w:eastAsia="Cambria Math"/>
            </w:rPr>
            <m:t>=</m:t>
          </m:r>
          <m:r>
            <m:rPr>
              <m:sty m:val="p"/>
            </m:rPr>
            <w:rPr>
              <w:rFonts w:ascii="Cambria Math" w:hAnsi="Cambria Math" w:cs="Cambria Math" w:eastAsia="Cambria Math"/>
            </w:rPr>
            <m:t>1.0</m:t>
          </m:r>
          <m:r>
            <m:rPr>
              <m:sty m:val="p"/>
            </m:rPr>
            <w:rPr>
              <w:rFonts w:ascii="Cambria Math" w:hAnsi="Cambria Math" w:cs="Cambria Math" w:eastAsia="Cambria Math"/>
            </w:rPr>
            <m:t>−</m:t>
          </m:r>
          <m:r>
            <m:rPr>
              <m:sty m:val="p"/>
            </m:rPr>
            <w:rPr>
              <w:rFonts w:ascii="Cambria Math" w:hAnsi="Cambria Math" w:cs="Cambria Math" w:eastAsia="Cambria Math"/>
            </w:rPr>
            <m:t>[</m:t>
          </m:r>
          <m:sSub>
            <m:e>
              <m:r>
                <m:rPr>
                  <m:sty m:val="p"/>
                </m:rPr>
                <w:rPr>
                  <w:rFonts w:ascii="Cambria Math" w:hAnsi="Cambria Math" w:cs="Cambria Math" w:eastAsia="Cambria Math"/>
                </w:rPr>
                <m:t>u</m:t>
              </m:r>
            </m:e>
            <m:sub>
              <m:r>
                <m:rPr>
                  <m:sty m:val="p"/>
                </m:rPr>
                <w:rPr>
                  <w:rFonts w:ascii="Cambria Math" w:hAnsi="Cambria Math" w:cs="Cambria Math" w:eastAsia="Cambria Math"/>
                </w:rPr>
                <m:t>1</m:t>
              </m:r>
            </m:sub>
          </m:sSub>
          <m:r>
            <m:rPr>
              <m:sty m:val="p"/>
            </m:rPr>
            <w:rPr>
              <w:rFonts w:ascii="Cambria Math" w:hAnsi="Cambria Math" w:cs="Cambria Math" w:eastAsia="Cambria Math"/>
            </w:rPr>
            <m:t>·</m:t>
          </m:r>
          <m:sSubSup>
            <m:e>
              <m:r>
                <m:rPr>
                  <m:sty m:val="p"/>
                </m:rPr>
                <w:rPr>
                  <w:rFonts w:ascii="Cambria Math" w:hAnsi="Cambria Math" w:cs="Cambria Math" w:eastAsia="Cambria Math"/>
                </w:rPr>
                <m:t>E</m:t>
              </m:r>
            </m:e>
            <m:sub>
              <m:r>
                <m:rPr>
                  <m:sty m:val="p"/>
                </m:rPr>
                <w:rPr>
                  <w:rFonts w:ascii="Cambria Math" w:hAnsi="Cambria Math" w:cs="Cambria Math" w:eastAsia="Cambria Math"/>
                </w:rPr>
                <m:t>t</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r>
            <m:rPr>
              <m:sty m:val="p"/>
            </m:rPr>
            <w:rPr>
              <w:rFonts w:ascii="Cambria Math" w:hAnsi="Cambria Math" w:cs="Cambria Math" w:eastAsia="Cambria Math"/>
            </w:rPr>
            <m:t>+</m:t>
          </m:r>
          <m:sSub>
            <m:e>
              <m:r>
                <m:rPr>
                  <m:sty m:val="p"/>
                </m:rPr>
                <w:rPr>
                  <w:rFonts w:ascii="Cambria Math" w:hAnsi="Cambria Math" w:cs="Cambria Math" w:eastAsia="Cambria Math"/>
                </w:rPr>
                <m:t>u</m:t>
              </m:r>
            </m:e>
            <m:sub>
              <m:r>
                <m:rPr>
                  <m:sty m:val="p"/>
                </m:rPr>
                <w:rPr>
                  <w:rFonts w:ascii="Cambria Math" w:hAnsi="Cambria Math" w:cs="Cambria Math" w:eastAsia="Cambria Math"/>
                </w:rPr>
                <m:t>2</m:t>
              </m:r>
            </m:sub>
          </m:sSub>
          <m:r>
            <m:rPr>
              <m:sty m:val="p"/>
            </m:rPr>
            <w:rPr>
              <w:rFonts w:ascii="Cambria Math" w:hAnsi="Cambria Math" w:cs="Cambria Math" w:eastAsia="Cambria Math"/>
            </w:rPr>
            <m:t>·</m:t>
          </m:r>
          <m:sSubSup>
            <m:e>
              <m:r>
                <m:rPr>
                  <m:sty m:val="p"/>
                </m:rPr>
                <w:rPr>
                  <w:rFonts w:ascii="Cambria Math" w:hAnsi="Cambria Math" w:cs="Cambria Math" w:eastAsia="Cambria Math"/>
                </w:rPr>
                <m:t>L</m:t>
              </m:r>
            </m:e>
            <m:sub>
              <m:r>
                <m:rPr>
                  <m:sty m:val="p"/>
                </m:rPr>
                <w:rPr>
                  <w:rFonts w:ascii="Cambria Math" w:hAnsi="Cambria Math" w:cs="Cambria Math" w:eastAsia="Cambria Math"/>
                </w:rPr>
                <m:t>t</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r>
            <m:rPr>
              <m:sty m:val="p"/>
            </m:rPr>
            <w:rPr>
              <w:rFonts w:ascii="Cambria Math" w:hAnsi="Cambria Math" w:cs="Cambria Math" w:eastAsia="Cambria Math"/>
            </w:rPr>
            <m:t>+</m:t>
          </m:r>
          <m:sSub>
            <m:e>
              <m:r>
                <m:rPr>
                  <m:sty m:val="p"/>
                </m:rPr>
                <w:rPr>
                  <w:rFonts w:ascii="Cambria Math" w:hAnsi="Cambria Math" w:cs="Cambria Math" w:eastAsia="Cambria Math"/>
                </w:rPr>
                <m:t>u</m:t>
              </m:r>
            </m:e>
            <m:sub>
              <m:r>
                <m:rPr>
                  <m:sty m:val="p"/>
                </m:rPr>
                <w:rPr>
                  <w:rFonts w:ascii="Cambria Math" w:hAnsi="Cambria Math" w:cs="Cambria Math" w:eastAsia="Cambria Math"/>
                </w:rPr>
                <m:t>3</m:t>
              </m:r>
            </m:sub>
          </m:sSub>
          <m:r>
            <m:rPr>
              <m:sty m:val="p"/>
            </m:rPr>
            <w:rPr>
              <w:rFonts w:ascii="Cambria Math" w:hAnsi="Cambria Math" w:cs="Cambria Math" w:eastAsia="Cambria Math"/>
            </w:rPr>
            <m:t>·</m:t>
          </m:r>
          <m:sSubSup>
            <m:e>
              <m:r>
                <m:rPr>
                  <m:sty m:val="p"/>
                </m:rPr>
                <w:rPr>
                  <w:rFonts w:ascii="Cambria Math" w:hAnsi="Cambria Math" w:cs="Cambria Math" w:eastAsia="Cambria Math"/>
                </w:rPr>
                <m:t>A</m:t>
              </m:r>
            </m:e>
            <m:sub>
              <m:r>
                <m:rPr>
                  <m:sty m:val="p"/>
                </m:rPr>
                <w:rPr>
                  <w:rFonts w:ascii="Cambria Math" w:hAnsi="Cambria Math" w:cs="Cambria Math" w:eastAsia="Cambria Math"/>
                </w:rPr>
                <m:t>t</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r>
            <m:rPr>
              <m:sty m:val="p"/>
            </m:rPr>
            <w:rPr>
              <w:rFonts w:ascii="Cambria Math" w:hAnsi="Cambria Math" w:cs="Cambria Math" w:eastAsia="Cambria Math"/>
            </w:rPr>
            <m:t>]</m:t>
          </m:r>
          <m:r>
            <m:rPr>
              <m:sty m:val="p"/>
            </m:rPr>
            <w:rPr>
              <w:rFonts w:ascii="Cambria Math" w:hAnsi="Cambria Math" w:cs="Cambria Math" w:eastAsia="Cambria Math"/>
            </w:rPr>
            <m:t> </m:t>
          </m:r>
          <m:r>
            <m:rPr>
              <m:sty m:val="p"/>
            </m:rPr>
            <w:rPr>
              <w:rFonts w:ascii="Cambria Math" w:hAnsi="Cambria Math" w:cs="Cambria Math" w:eastAsia="Cambria Math"/>
            </w:rPr>
            <m:t>(</m:t>
          </m:r>
          <m:r>
            <m:rPr>
              <m:sty m:val="p"/>
            </m:rPr>
            <w:rPr>
              <w:rFonts w:ascii="Cambria Math" w:hAnsi="Cambria Math" w:cs="Cambria Math" w:eastAsia="Cambria Math"/>
            </w:rPr>
            <m:t>3</m:t>
          </m:r>
          <m:r>
            <m:rPr>
              <m:sty m:val="p"/>
            </m:rPr>
            <w:rPr>
              <w:rFonts w:ascii="Cambria Math" w:hAnsi="Cambria Math" w:cs="Cambria Math" w:eastAsia="Cambria Math"/>
            </w:rPr>
            <m:t>)</m:t>
          </m:r>
        </m:oMath>
      </m:oMathPara>
    </w:p>
    <w:p>
      <w:pPr>
        <w:spacing w:after="120" w:line="276" w:lineRule="auto"/>
      </w:pPr>
      <w:r>
        <w:rPr>
          <w:rFonts w:ascii="宋体" w:hAnsi="宋体" w:eastAsia="宋体"/>
          <w:sz w:val="21"/>
        </w:rPr>
        <w:t>该评分以 1.0 为健康上限基准，随着错误率与时延恶化而线性惩罚扣减。</w:t>
      </w:r>
    </w:p>
    <w:p>
      <w:pPr>
        <w:pStyle w:val="ListNumber"/>
        <w:spacing w:after="60"/>
        <w:numPr>
          <w:ilvl w:val="0"/>
          <w:numId w:val="14"/>
        </w:numPr>
      </w:pPr>
      <w:r>
        <w:rPr>
          <w:rFonts w:ascii="宋体" w:hAnsi="宋体" w:eastAsia="宋体"/>
          <w:b/>
          <w:sz w:val="21"/>
        </w:rPr>
        <w:t>自适应渐进放行流量更新公式</w:t>
      </w:r>
      <w:r>
        <w:rPr>
          <w:rFonts w:ascii="宋体" w:hAnsi="宋体" w:eastAsia="宋体"/>
          <w:sz w:val="21"/>
        </w:rPr>
        <w:t>：</w:t>
      </w:r>
    </w:p>
    <w:p>
      <w:pPr>
        <w:spacing w:after="120" w:line="276" w:lineRule="auto"/>
      </w:pPr>
      <w:r>
        <w:rPr>
          <w:rFonts w:ascii="宋体" w:hAnsi="宋体" w:eastAsia="宋体"/>
          <w:sz w:val="21"/>
        </w:rPr>
        <w:t xml:space="preserve">在金丝雀验证阶段，当健康度越过准入线 </w:t>
      </w:r>
      <m:oMath>
        <m:sSub>
          <m:e>
            <m:r>
              <m:rPr>
                <m:sty m:val="p"/>
              </m:rPr>
              <w:rPr>
                <w:rFonts w:ascii="Cambria Math" w:hAnsi="Cambria Math" w:cs="Cambria Math" w:eastAsia="Cambria Math"/>
              </w:rPr>
              <m:t>S</m:t>
            </m:r>
          </m:e>
          <m:sub>
            <m:r>
              <m:rPr>
                <m:sty m:val="p"/>
              </m:rPr>
              <w:rPr>
                <w:rFonts w:ascii="Cambria Math" w:hAnsi="Cambria Math" w:cs="Cambria Math" w:eastAsia="Cambria Math"/>
              </w:rPr>
              <m:t>t</m:t>
            </m:r>
          </m:sub>
        </m:sSub>
        <m:r>
          <m:rPr>
            <m:sty m:val="p"/>
          </m:rPr>
          <w:rPr>
            <w:rFonts w:ascii="Cambria Math" w:hAnsi="Cambria Math" w:cs="Cambria Math" w:eastAsia="Cambria Math"/>
          </w:rPr>
          <m:t>≥</m:t>
        </m:r>
        <m:sSub>
          <m:e>
            <m:r>
              <m:rPr>
                <m:sty m:val="p"/>
              </m:rPr>
              <w:rPr>
                <w:rFonts w:ascii="Cambria Math" w:hAnsi="Cambria Math" w:cs="Cambria Math" w:eastAsia="Cambria Math"/>
              </w:rPr>
              <m:t>τ</m:t>
            </m:r>
          </m:e>
          <m:sub>
            <m:r>
              <m:rPr>
                <m:sty m:val="p"/>
              </m:rPr>
              <w:rPr>
                <w:rFonts w:ascii="Cambria Math" w:hAnsi="Cambria Math" w:cs="Cambria Math" w:eastAsia="Cambria Math"/>
              </w:rPr>
              <m:t>p</m:t>
            </m:r>
            <m:r>
              <m:rPr>
                <m:sty m:val="p"/>
              </m:rPr>
              <w:rPr>
                <w:rFonts w:ascii="Cambria Math" w:hAnsi="Cambria Math" w:cs="Cambria Math" w:eastAsia="Cambria Math"/>
              </w:rPr>
              <m:t>a</m:t>
            </m:r>
            <m:r>
              <m:rPr>
                <m:sty m:val="p"/>
              </m:rPr>
              <w:rPr>
                <w:rFonts w:ascii="Cambria Math" w:hAnsi="Cambria Math" w:cs="Cambria Math" w:eastAsia="Cambria Math"/>
              </w:rPr>
              <m:t>s</m:t>
            </m:r>
            <m:r>
              <m:rPr>
                <m:sty m:val="p"/>
              </m:rPr>
              <w:rPr>
                <w:rFonts w:ascii="Cambria Math" w:hAnsi="Cambria Math" w:cs="Cambria Math" w:eastAsia="Cambria Math"/>
              </w:rPr>
              <m:t>s</m:t>
            </m:r>
          </m:sub>
        </m:sSub>
      </m:oMath>
      <w:r>
        <w:rPr>
          <w:rFonts w:ascii="宋体" w:hAnsi="宋体" w:eastAsia="宋体"/>
          <w:sz w:val="21"/>
        </w:rPr>
        <w:t xml:space="preserve"> 时，下一轮放行流量比例 </w:t>
      </w:r>
      <m:oMath>
        <m:sSub>
          <m:e>
            <m:r>
              <m:rPr>
                <m:sty m:val="p"/>
              </m:rPr>
              <w:rPr>
                <w:rFonts w:ascii="Cambria Math" w:hAnsi="Cambria Math" w:cs="Cambria Math" w:eastAsia="Cambria Math"/>
              </w:rPr>
              <m:t>θ</m:t>
            </m:r>
          </m:e>
          <m:sub>
            <m:r>
              <m:rPr>
                <m:sty m:val="p"/>
              </m:rPr>
              <w:rPr>
                <w:rFonts w:ascii="Cambria Math" w:hAnsi="Cambria Math" w:cs="Cambria Math" w:eastAsia="Cambria Math"/>
              </w:rPr>
              <m:t>m</m:t>
            </m:r>
          </m:sub>
        </m:sSub>
      </m:oMath>
      <w:r>
        <w:rPr>
          <w:rFonts w:ascii="宋体" w:hAnsi="宋体" w:eastAsia="宋体"/>
          <w:sz w:val="21"/>
        </w:rPr>
        <w:t xml:space="preserve"> 依据健康度富余量自适应递增：</w:t>
      </w:r>
    </w:p>
    <w:p>
      <w:pPr>
        <w:spacing w:before="60" w:after="120"/>
        <w:jc w:val="center"/>
      </w:pPr>
      <m:oMathPara>
        <m:oMath>
          <m:sSub>
            <m:e>
              <m:r>
                <m:rPr>
                  <m:sty m:val="p"/>
                </m:rPr>
                <w:rPr>
                  <w:rFonts w:ascii="Cambria Math" w:hAnsi="Cambria Math" w:cs="Cambria Math" w:eastAsia="Cambria Math"/>
                </w:rPr>
                <m:t>θ</m:t>
              </m:r>
            </m:e>
            <m:sub>
              <m:r>
                <m:rPr>
                  <m:sty m:val="p"/>
                </m:rPr>
                <w:rPr>
                  <w:rFonts w:ascii="Cambria Math" w:hAnsi="Cambria Math" w:cs="Cambria Math" w:eastAsia="Cambria Math"/>
                </w:rPr>
                <m:t>m</m:t>
              </m:r>
            </m:sub>
          </m:sSub>
          <m:r>
            <m:rPr>
              <m:sty m:val="p"/>
            </m:rPr>
            <w:rPr>
              <w:rFonts w:ascii="Cambria Math" w:hAnsi="Cambria Math" w:cs="Cambria Math" w:eastAsia="Cambria Math"/>
            </w:rPr>
            <m:t>\leqftarrow</m:t>
          </m:r>
          <m:sSub>
            <m:e>
              <m:r>
                <m:rPr>
                  <m:sty m:val="p"/>
                </m:rPr>
                <w:rPr>
                  <w:rFonts w:ascii="Cambria Math" w:hAnsi="Cambria Math" w:cs="Cambria Math" w:eastAsia="Cambria Math"/>
                </w:rPr>
                <m:t>θ</m:t>
              </m:r>
            </m:e>
            <m:sub>
              <m:r>
                <m:rPr>
                  <m:sty m:val="p"/>
                </m:rPr>
                <w:rPr>
                  <w:rFonts w:ascii="Cambria Math" w:hAnsi="Cambria Math" w:cs="Cambria Math" w:eastAsia="Cambria Math"/>
                </w:rPr>
                <m:t>m</m:t>
              </m:r>
              <m:r>
                <m:rPr>
                  <m:sty m:val="p"/>
                </m:rPr>
                <w:rPr>
                  <w:rFonts w:ascii="Cambria Math" w:hAnsi="Cambria Math" w:cs="Cambria Math" w:eastAsia="Cambria Math"/>
                </w:rPr>
                <m:t>−</m:t>
              </m:r>
              <m:r>
                <m:rPr>
                  <m:sty m:val="p"/>
                </m:rPr>
                <w:rPr>
                  <w:rFonts w:ascii="Cambria Math" w:hAnsi="Cambria Math" w:cs="Cambria Math" w:eastAsia="Cambria Math"/>
                </w:rPr>
                <m:t>1</m:t>
              </m:r>
            </m:sub>
          </m:sSub>
          <m:r>
            <m:rPr>
              <m:sty m:val="p"/>
            </m:rPr>
            <w:rPr>
              <w:rFonts w:ascii="Cambria Math" w:hAnsi="Cambria Math" w:cs="Cambria Math" w:eastAsia="Cambria Math"/>
            </w:rPr>
            <m:t>+</m:t>
          </m:r>
          <m:r>
            <m:rPr>
              <m:sty m:val="p"/>
            </m:rPr>
            <w:rPr>
              <w:rFonts w:ascii="Cambria Math" w:hAnsi="Cambria Math" w:cs="Cambria Math" w:eastAsia="Cambria Math"/>
            </w:rPr>
            <m:t>γ</m:t>
          </m:r>
          <m:r>
            <m:rPr>
              <m:sty m:val="p"/>
            </m:rPr>
            <w:rPr>
              <w:rFonts w:ascii="Cambria Math" w:hAnsi="Cambria Math" w:cs="Cambria Math" w:eastAsia="Cambria Math"/>
            </w:rPr>
            <m:t>·</m:t>
          </m:r>
          <m:r>
            <m:rPr>
              <m:sty m:val="p"/>
            </m:rPr>
            <w:rPr>
              <w:rFonts w:ascii="Cambria Math" w:hAnsi="Cambria Math" w:cs="Cambria Math" w:eastAsia="Cambria Math"/>
            </w:rPr>
            <m:t>[</m:t>
          </m:r>
          <m:sSub>
            <m:e>
              <m:r>
                <m:rPr>
                  <m:sty m:val="p"/>
                </m:rPr>
                <w:rPr>
                  <w:rFonts w:ascii="Cambria Math" w:hAnsi="Cambria Math" w:cs="Cambria Math" w:eastAsia="Cambria Math"/>
                </w:rPr>
                <m:t>S</m:t>
              </m:r>
            </m:e>
            <m:sub>
              <m:r>
                <m:rPr>
                  <m:sty m:val="p"/>
                </m:rPr>
                <w:rPr>
                  <w:rFonts w:ascii="Cambria Math" w:hAnsi="Cambria Math" w:cs="Cambria Math" w:eastAsia="Cambria Math"/>
                </w:rPr>
                <m:t>t</m:t>
              </m:r>
            </m:sub>
          </m:sSub>
          <m:r>
            <m:rPr>
              <m:sty m:val="p"/>
            </m:rPr>
            <w:rPr>
              <w:rFonts w:ascii="Cambria Math" w:hAnsi="Cambria Math" w:cs="Cambria Math" w:eastAsia="Cambria Math"/>
            </w:rPr>
            <m:t>−</m:t>
          </m:r>
          <m:sSub>
            <m:e>
              <m:r>
                <m:rPr>
                  <m:sty m:val="p"/>
                </m:rPr>
                <w:rPr>
                  <w:rFonts w:ascii="Cambria Math" w:hAnsi="Cambria Math" w:cs="Cambria Math" w:eastAsia="Cambria Math"/>
                </w:rPr>
                <m:t>τ</m:t>
              </m:r>
            </m:e>
            <m:sub>
              <m:r>
                <m:rPr>
                  <m:sty m:val="p"/>
                </m:rPr>
                <w:rPr>
                  <w:rFonts w:ascii="Cambria Math" w:hAnsi="Cambria Math" w:cs="Cambria Math" w:eastAsia="Cambria Math"/>
                </w:rPr>
                <m:t>p</m:t>
              </m:r>
              <m:r>
                <m:rPr>
                  <m:sty m:val="p"/>
                </m:rPr>
                <w:rPr>
                  <w:rFonts w:ascii="Cambria Math" w:hAnsi="Cambria Math" w:cs="Cambria Math" w:eastAsia="Cambria Math"/>
                </w:rPr>
                <m:t>a</m:t>
              </m:r>
              <m:r>
                <m:rPr>
                  <m:sty m:val="p"/>
                </m:rPr>
                <w:rPr>
                  <w:rFonts w:ascii="Cambria Math" w:hAnsi="Cambria Math" w:cs="Cambria Math" w:eastAsia="Cambria Math"/>
                </w:rPr>
                <m:t>s</m:t>
              </m:r>
              <m:r>
                <m:rPr>
                  <m:sty m:val="p"/>
                </m:rPr>
                <w:rPr>
                  <w:rFonts w:ascii="Cambria Math" w:hAnsi="Cambria Math" w:cs="Cambria Math" w:eastAsia="Cambria Math"/>
                </w:rPr>
                <m:t>s</m:t>
              </m:r>
            </m:sub>
          </m:sSub>
          <m:r>
            <m:rPr>
              <m:sty m:val="p"/>
            </m:rPr>
            <w:rPr>
              <w:rFonts w:ascii="Cambria Math" w:hAnsi="Cambria Math" w:cs="Cambria Math" w:eastAsia="Cambria Math"/>
            </w:rPr>
            <m:t>]</m:t>
          </m:r>
          <m:r>
            <m:rPr>
              <m:sty m:val="p"/>
            </m:rPr>
            <w:rPr>
              <w:rFonts w:ascii="Cambria Math" w:hAnsi="Cambria Math" w:cs="Cambria Math" w:eastAsia="Cambria Math"/>
            </w:rPr>
            <m:t> </m:t>
          </m:r>
          <m:r>
            <m:rPr>
              <m:sty m:val="p"/>
            </m:rPr>
            <w:rPr>
              <w:rFonts w:ascii="Cambria Math" w:hAnsi="Cambria Math" w:cs="Cambria Math" w:eastAsia="Cambria Math"/>
            </w:rPr>
            <m:t>(</m:t>
          </m:r>
          <m:r>
            <m:rPr>
              <m:sty m:val="p"/>
            </m:rPr>
            <w:rPr>
              <w:rFonts w:ascii="Cambria Math" w:hAnsi="Cambria Math" w:cs="Cambria Math" w:eastAsia="Cambria Math"/>
            </w:rPr>
            <m:t>4</m:t>
          </m:r>
          <m:r>
            <m:rPr>
              <m:sty m:val="p"/>
            </m:rPr>
            <w:rPr>
              <w:rFonts w:ascii="Cambria Math" w:hAnsi="Cambria Math" w:cs="Cambria Math" w:eastAsia="Cambria Math"/>
            </w:rPr>
            <m:t>)</m:t>
          </m:r>
        </m:oMath>
      </m:oMathPara>
    </w:p>
    <w:p>
      <w:pPr>
        <w:spacing w:after="120" w:line="276" w:lineRule="auto"/>
      </w:pPr>
      <w:r>
        <w:rPr>
          <w:rFonts w:ascii="宋体" w:hAnsi="宋体" w:eastAsia="宋体"/>
          <w:sz w:val="21"/>
        </w:rPr>
        <w:t>若健康度极佳（</w:t>
      </w:r>
      <m:oMath>
        <m:sSub>
          <m:e>
            <m:r>
              <m:rPr>
                <m:sty m:val="p"/>
              </m:rPr>
              <w:rPr>
                <w:rFonts w:ascii="Cambria Math" w:hAnsi="Cambria Math" w:cs="Cambria Math" w:eastAsia="Cambria Math"/>
              </w:rPr>
              <m:t>S</m:t>
            </m:r>
          </m:e>
          <m:sub>
            <m:r>
              <m:rPr>
                <m:sty m:val="p"/>
              </m:rPr>
              <w:rPr>
                <w:rFonts w:ascii="Cambria Math" w:hAnsi="Cambria Math" w:cs="Cambria Math" w:eastAsia="Cambria Math"/>
              </w:rPr>
              <m:t>t</m:t>
            </m:r>
          </m:sub>
        </m:sSub>
        <m:r>
          <m:rPr>
            <m:sty m:val="p"/>
          </m:rPr>
          <w:rPr>
            <w:rFonts w:ascii="Cambria Math" w:hAnsi="Cambria Math" w:cs="Cambria Math" w:eastAsia="Cambria Math"/>
          </w:rPr>
          <m:t>≈</m:t>
        </m:r>
        <m:r>
          <m:rPr>
            <m:sty m:val="p"/>
          </m:rPr>
          <w:rPr>
            <w:rFonts w:ascii="Cambria Math" w:hAnsi="Cambria Math" w:cs="Cambria Math" w:eastAsia="Cambria Math"/>
          </w:rPr>
          <m:t>1.0</m:t>
        </m:r>
      </m:oMath>
      <w:r>
        <w:rPr>
          <w:rFonts w:ascii="宋体" w:hAnsi="宋体" w:eastAsia="宋体"/>
          <w:sz w:val="21"/>
        </w:rPr>
        <w:t>），放行步长自动增大以加速自愈收敛；若仅勉强达标，则以小步长谨慎放行。</w:t>
      </w:r>
    </w:p>
    <w:p>
      <w:pPr>
        <w:pStyle w:val="ListNumber"/>
        <w:spacing w:after="60"/>
        <w:numPr>
          <w:ilvl w:val="0"/>
          <w:numId w:val="14"/>
        </w:numPr>
      </w:pPr>
      <w:r>
        <w:rPr>
          <w:rFonts w:ascii="宋体" w:hAnsi="宋体" w:eastAsia="宋体"/>
          <w:b/>
          <w:sz w:val="21"/>
        </w:rPr>
        <w:t>安全熔断与原子回滚判决条件</w:t>
      </w:r>
      <w:r>
        <w:rPr>
          <w:rFonts w:ascii="宋体" w:hAnsi="宋体" w:eastAsia="宋体"/>
          <w:sz w:val="21"/>
        </w:rPr>
        <w:t>：</w:t>
      </w:r>
    </w:p>
    <w:p>
      <w:pPr>
        <w:spacing w:after="120" w:line="276" w:lineRule="auto"/>
      </w:pPr>
      <w:r>
        <w:rPr>
          <w:rFonts w:ascii="宋体" w:hAnsi="宋体" w:eastAsia="宋体"/>
          <w:sz w:val="21"/>
        </w:rPr>
        <w:t>若在任一监控周期监测到沙箱或金丝雀节点健康度低于低限安全阈值：</w:t>
      </w:r>
    </w:p>
    <w:p>
      <w:pPr>
        <w:spacing w:before="60" w:after="120"/>
        <w:jc w:val="center"/>
      </w:pPr>
      <m:oMathPara>
        <m:oMath>
          <m:sSub>
            <m:e>
              <m:r>
                <m:rPr>
                  <m:sty m:val="p"/>
                </m:rPr>
                <w:rPr>
                  <w:rFonts w:ascii="Cambria Math" w:hAnsi="Cambria Math" w:cs="Cambria Math" w:eastAsia="Cambria Math"/>
                </w:rPr>
                <m:t>S</m:t>
              </m:r>
            </m:e>
            <m:sub>
              <m:r>
                <m:rPr>
                  <m:sty m:val="p"/>
                </m:rPr>
                <w:rPr>
                  <w:rFonts w:ascii="Cambria Math" w:hAnsi="Cambria Math" w:cs="Cambria Math" w:eastAsia="Cambria Math"/>
                </w:rPr>
                <m:t>t</m:t>
              </m:r>
            </m:sub>
          </m:sSub>
          <m:r>
            <m:rPr>
              <m:sty m:val="p"/>
            </m:rPr>
            <w:rPr>
              <w:rFonts w:ascii="Cambria Math" w:hAnsi="Cambria Math" w:cs="Cambria Math" w:eastAsia="Cambria Math"/>
            </w:rPr>
            <m:t>&lt;</m:t>
          </m:r>
          <m:sSub>
            <m:e>
              <m:r>
                <m:rPr>
                  <m:sty m:val="p"/>
                </m:rPr>
                <w:rPr>
                  <w:rFonts w:ascii="Cambria Math" w:hAnsi="Cambria Math" w:cs="Cambria Math" w:eastAsia="Cambria Math"/>
                </w:rPr>
                <m:t>τ</m:t>
              </m:r>
            </m:e>
            <m:sub>
              <m:r>
                <m:rPr>
                  <m:sty m:val="p"/>
                </m:rPr>
                <w:rPr>
                  <w:rFonts w:ascii="Cambria Math" w:hAnsi="Cambria Math" w:cs="Cambria Math" w:eastAsia="Cambria Math"/>
                </w:rPr>
                <m:t>r</m:t>
              </m:r>
              <m:r>
                <m:rPr>
                  <m:sty m:val="p"/>
                </m:rPr>
                <w:rPr>
                  <w:rFonts w:ascii="Cambria Math" w:hAnsi="Cambria Math" w:cs="Cambria Math" w:eastAsia="Cambria Math"/>
                </w:rPr>
                <m:t>o</m:t>
              </m:r>
              <m:r>
                <m:rPr>
                  <m:sty m:val="p"/>
                </m:rPr>
                <w:rPr>
                  <w:rFonts w:ascii="Cambria Math" w:hAnsi="Cambria Math" w:cs="Cambria Math" w:eastAsia="Cambria Math"/>
                </w:rPr>
                <m:t>l</m:t>
              </m:r>
              <m:r>
                <m:rPr>
                  <m:sty m:val="p"/>
                </m:rPr>
                <w:rPr>
                  <w:rFonts w:ascii="Cambria Math" w:hAnsi="Cambria Math" w:cs="Cambria Math" w:eastAsia="Cambria Math"/>
                </w:rPr>
                <m:t>l</m:t>
              </m:r>
              <m:r>
                <m:rPr>
                  <m:sty m:val="p"/>
                </m:rPr>
                <w:rPr>
                  <w:rFonts w:ascii="Cambria Math" w:hAnsi="Cambria Math" w:cs="Cambria Math" w:eastAsia="Cambria Math"/>
                </w:rPr>
                <m:t>b</m:t>
              </m:r>
              <m:r>
                <m:rPr>
                  <m:sty m:val="p"/>
                </m:rPr>
                <w:rPr>
                  <w:rFonts w:ascii="Cambria Math" w:hAnsi="Cambria Math" w:cs="Cambria Math" w:eastAsia="Cambria Math"/>
                </w:rPr>
                <m:t>a</m:t>
              </m:r>
              <m:r>
                <m:rPr>
                  <m:sty m:val="p"/>
                </m:rPr>
                <w:rPr>
                  <w:rFonts w:ascii="Cambria Math" w:hAnsi="Cambria Math" w:cs="Cambria Math" w:eastAsia="Cambria Math"/>
                </w:rPr>
                <m:t>c</m:t>
              </m:r>
              <m:r>
                <m:rPr>
                  <m:sty m:val="p"/>
                </m:rPr>
                <w:rPr>
                  <w:rFonts w:ascii="Cambria Math" w:hAnsi="Cambria Math" w:cs="Cambria Math" w:eastAsia="Cambria Math"/>
                </w:rPr>
                <m:t>k</m:t>
              </m:r>
            </m:sub>
          </m:sSub>
          <m:r>
            <m:rPr>
              <m:sty m:val="p"/>
            </m:rPr>
            <w:rPr>
              <w:rFonts w:ascii="Cambria Math" w:hAnsi="Cambria Math" w:cs="Cambria Math" w:eastAsia="Cambria Math"/>
            </w:rPr>
            <m:t> </m:t>
          </m:r>
          <m:r>
            <m:rPr>
              <m:sty m:val="p"/>
            </m:rPr>
            <w:rPr>
              <w:rFonts w:ascii="Cambria Math" w:hAnsi="Cambria Math" w:cs="Cambria Math" w:eastAsia="Cambria Math"/>
            </w:rPr>
            <m:t>(</m:t>
          </m:r>
          <m:r>
            <m:rPr>
              <m:sty m:val="p"/>
            </m:rPr>
            <w:rPr>
              <w:rFonts w:ascii="Cambria Math" w:hAnsi="Cambria Math" w:cs="Cambria Math" w:eastAsia="Cambria Math"/>
            </w:rPr>
            <m:t>5</m:t>
          </m:r>
          <m:r>
            <m:rPr>
              <m:sty m:val="p"/>
            </m:rPr>
            <w:rPr>
              <w:rFonts w:ascii="Cambria Math" w:hAnsi="Cambria Math" w:cs="Cambria Math" w:eastAsia="Cambria Math"/>
            </w:rPr>
            <m:t>)</m:t>
          </m:r>
        </m:oMath>
      </m:oMathPara>
    </w:p>
    <w:p>
      <w:pPr>
        <w:spacing w:after="120" w:line="276" w:lineRule="auto"/>
      </w:pPr>
      <w:r>
        <w:rPr>
          <w:rFonts w:ascii="宋体" w:hAnsi="宋体" w:eastAsia="宋体"/>
          <w:sz w:val="21"/>
        </w:rPr>
        <w:t>系统立即切断探针流量，触发反向补偿事务链以实现秒级无损原子回滚。</w:t>
      </w:r>
    </w:p>
    <w:p>
      <w:pPr>
        <w:pStyle w:val="Heading3"/>
      </w:pPr>
      <w:r>
        <w:rPr>
          <w:rFonts w:ascii="宋体" w:hAnsi="宋体" w:eastAsia="宋体"/>
        </w:rPr>
        <w:t>3.5 关键技术参数</w:t>
      </w:r>
    </w:p>
    <w:p>
      <w:pPr>
        <w:spacing w:after="120" w:line="276" w:lineRule="auto"/>
      </w:pPr>
      <w:r>
        <w:rPr>
          <w:rFonts w:ascii="宋体" w:hAnsi="宋体" w:eastAsia="宋体"/>
          <w:sz w:val="21"/>
        </w:rPr>
        <w:t>方案涉及的关键控制参数如表 1 所示，参数取值可根据企业业务 SLA 等级进行针对性调整：</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宋体" w:hAnsi="宋体" w:eastAsia="宋体"/>
                <w:sz w:val="20"/>
              </w:rPr>
            </w:r>
            <w:r>
              <w:rPr>
                <w:rFonts w:ascii="宋体" w:hAnsi="宋体" w:eastAsia="宋体"/>
                <w:sz w:val="20"/>
              </w:rPr>
              <w:t>参数名称</w:t>
            </w:r>
          </w:p>
        </w:tc>
        <w:tc>
          <w:tcPr>
            <w:tcW w:type="dxa" w:w="1728"/>
          </w:tcPr>
          <w:p>
            <w:r>
              <w:rPr>
                <w:rFonts w:ascii="宋体" w:hAnsi="宋体" w:eastAsia="宋体"/>
                <w:sz w:val="20"/>
              </w:rPr>
            </w:r>
            <w:r>
              <w:rPr>
                <w:rFonts w:ascii="宋体" w:hAnsi="宋体" w:eastAsia="宋体"/>
                <w:sz w:val="20"/>
              </w:rPr>
              <w:t>符号</w:t>
            </w:r>
          </w:p>
        </w:tc>
        <w:tc>
          <w:tcPr>
            <w:tcW w:type="dxa" w:w="1728"/>
          </w:tcPr>
          <w:p>
            <w:r>
              <w:rPr>
                <w:rFonts w:ascii="宋体" w:hAnsi="宋体" w:eastAsia="宋体"/>
                <w:sz w:val="20"/>
              </w:rPr>
            </w:r>
            <w:r>
              <w:rPr>
                <w:rFonts w:ascii="宋体" w:hAnsi="宋体" w:eastAsia="宋体"/>
                <w:sz w:val="20"/>
              </w:rPr>
              <w:t>默认推荐值</w:t>
            </w:r>
          </w:p>
        </w:tc>
        <w:tc>
          <w:tcPr>
            <w:tcW w:type="dxa" w:w="1728"/>
          </w:tcPr>
          <w:p>
            <w:r>
              <w:rPr>
                <w:rFonts w:ascii="宋体" w:hAnsi="宋体" w:eastAsia="宋体"/>
                <w:sz w:val="20"/>
              </w:rPr>
            </w:r>
            <w:r>
              <w:rPr>
                <w:rFonts w:ascii="宋体" w:hAnsi="宋体" w:eastAsia="宋体"/>
                <w:sz w:val="20"/>
              </w:rPr>
              <w:t>取值范围</w:t>
            </w:r>
          </w:p>
        </w:tc>
        <w:tc>
          <w:tcPr>
            <w:tcW w:type="dxa" w:w="1728"/>
          </w:tcPr>
          <w:p>
            <w:r>
              <w:rPr>
                <w:rFonts w:ascii="宋体" w:hAnsi="宋体" w:eastAsia="宋体"/>
                <w:sz w:val="20"/>
              </w:rPr>
            </w:r>
            <w:r>
              <w:rPr>
                <w:rFonts w:ascii="宋体" w:hAnsi="宋体" w:eastAsia="宋体"/>
                <w:sz w:val="20"/>
              </w:rPr>
              <w:t>说明与设置依据</w:t>
            </w:r>
          </w:p>
        </w:tc>
      </w:tr>
      <w:tr>
        <w:tc>
          <w:tcPr>
            <w:tcW w:type="dxa" w:w="1728"/>
          </w:tcPr>
          <w:p>
            <w:r>
              <w:rPr>
                <w:rFonts w:ascii="宋体" w:hAnsi="宋体" w:eastAsia="宋体"/>
                <w:sz w:val="20"/>
              </w:rPr>
            </w:r>
            <w:r>
              <w:rPr>
                <w:rFonts w:ascii="宋体" w:hAnsi="宋体" w:eastAsia="宋体"/>
                <w:sz w:val="20"/>
              </w:rPr>
              <w:t>拓扑扇出加权系数</w:t>
            </w:r>
          </w:p>
        </w:tc>
        <w:tc>
          <w:tcPr>
            <w:tcW w:type="dxa" w:w="1728"/>
          </w:tcPr>
          <w:p>
            <w:r>
              <w:rPr>
                <w:rFonts w:ascii="宋体" w:hAnsi="宋体" w:eastAsia="宋体"/>
                <w:sz w:val="20"/>
              </w:rPr>
            </w:r>
            <m:oMath>
              <m:sSub>
                <m:e>
                  <m:r>
                    <m:rPr>
                      <m:sty m:val="p"/>
                    </m:rPr>
                    <w:rPr>
                      <w:rFonts w:ascii="Cambria Math" w:hAnsi="Cambria Math" w:cs="Cambria Math" w:eastAsia="Cambria Math"/>
                    </w:rPr>
                    <m:t>w</m:t>
                  </m:r>
                </m:e>
                <m:sub>
                  <m:r>
                    <m:rPr>
                      <m:sty m:val="p"/>
                    </m:rPr>
                    <w:rPr>
                      <w:rFonts w:ascii="Cambria Math" w:hAnsi="Cambria Math" w:cs="Cambria Math" w:eastAsia="Cambria Math"/>
                    </w:rPr>
                    <m:t>1</m:t>
                  </m:r>
                </m:sub>
              </m:sSub>
            </m:oMath>
          </w:p>
        </w:tc>
        <w:tc>
          <w:tcPr>
            <w:tcW w:type="dxa" w:w="1728"/>
          </w:tcPr>
          <w:p>
            <w:r>
              <w:rPr>
                <w:rFonts w:ascii="宋体" w:hAnsi="宋体" w:eastAsia="宋体"/>
                <w:sz w:val="20"/>
              </w:rPr>
            </w:r>
            <w:r>
              <w:rPr>
                <w:rFonts w:ascii="宋体" w:hAnsi="宋体" w:eastAsia="宋体"/>
                <w:sz w:val="20"/>
              </w:rPr>
              <w:t>0.40</w:t>
            </w:r>
          </w:p>
        </w:tc>
        <w:tc>
          <w:tcPr>
            <w:tcW w:type="dxa" w:w="1728"/>
          </w:tcPr>
          <w:p>
            <w:r>
              <w:rPr>
                <w:rFonts w:ascii="宋体" w:hAnsi="宋体" w:eastAsia="宋体"/>
                <w:sz w:val="20"/>
              </w:rPr>
            </w:r>
            <m:oMath>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c>
          <w:tcPr>
            <w:tcW w:type="dxa" w:w="1728"/>
          </w:tcPr>
          <w:p>
            <w:r>
              <w:rPr>
                <w:rFonts w:ascii="宋体" w:hAnsi="宋体" w:eastAsia="宋体"/>
                <w:sz w:val="20"/>
              </w:rPr>
            </w:r>
            <w:r>
              <w:rPr>
                <w:rFonts w:ascii="宋体" w:hAnsi="宋体" w:eastAsia="宋体"/>
                <w:sz w:val="20"/>
              </w:rPr>
              <w:t>侧重评估操作对下游多跳依赖的波及广度</w:t>
            </w:r>
          </w:p>
        </w:tc>
      </w:tr>
      <w:tr>
        <w:tc>
          <w:tcPr>
            <w:tcW w:type="dxa" w:w="1728"/>
          </w:tcPr>
          <w:p>
            <w:r>
              <w:rPr>
                <w:rFonts w:ascii="宋体" w:hAnsi="宋体" w:eastAsia="宋体"/>
                <w:sz w:val="20"/>
              </w:rPr>
            </w:r>
            <w:r>
              <w:rPr>
                <w:rFonts w:ascii="宋体" w:hAnsi="宋体" w:eastAsia="宋体"/>
                <w:sz w:val="20"/>
              </w:rPr>
              <w:t>资源破坏性加权系数</w:t>
            </w:r>
          </w:p>
        </w:tc>
        <w:tc>
          <w:tcPr>
            <w:tcW w:type="dxa" w:w="1728"/>
          </w:tcPr>
          <w:p>
            <w:r>
              <w:rPr>
                <w:rFonts w:ascii="宋体" w:hAnsi="宋体" w:eastAsia="宋体"/>
                <w:sz w:val="20"/>
              </w:rPr>
            </w:r>
            <m:oMath>
              <m:sSub>
                <m:e>
                  <m:r>
                    <m:rPr>
                      <m:sty m:val="p"/>
                    </m:rPr>
                    <w:rPr>
                      <w:rFonts w:ascii="Cambria Math" w:hAnsi="Cambria Math" w:cs="Cambria Math" w:eastAsia="Cambria Math"/>
                    </w:rPr>
                    <m:t>w</m:t>
                  </m:r>
                </m:e>
                <m:sub>
                  <m:r>
                    <m:rPr>
                      <m:sty m:val="p"/>
                    </m:rPr>
                    <w:rPr>
                      <w:rFonts w:ascii="Cambria Math" w:hAnsi="Cambria Math" w:cs="Cambria Math" w:eastAsia="Cambria Math"/>
                    </w:rPr>
                    <m:t>2</m:t>
                  </m:r>
                </m:sub>
              </m:sSub>
            </m:oMath>
          </w:p>
        </w:tc>
        <w:tc>
          <w:tcPr>
            <w:tcW w:type="dxa" w:w="1728"/>
          </w:tcPr>
          <w:p>
            <w:r>
              <w:rPr>
                <w:rFonts w:ascii="宋体" w:hAnsi="宋体" w:eastAsia="宋体"/>
                <w:sz w:val="20"/>
              </w:rPr>
            </w:r>
            <w:r>
              <w:rPr>
                <w:rFonts w:ascii="宋体" w:hAnsi="宋体" w:eastAsia="宋体"/>
                <w:sz w:val="20"/>
              </w:rPr>
              <w:t>0.30</w:t>
            </w:r>
          </w:p>
        </w:tc>
        <w:tc>
          <w:tcPr>
            <w:tcW w:type="dxa" w:w="1728"/>
          </w:tcPr>
          <w:p>
            <w:r>
              <w:rPr>
                <w:rFonts w:ascii="宋体" w:hAnsi="宋体" w:eastAsia="宋体"/>
                <w:sz w:val="20"/>
              </w:rPr>
            </w:r>
            <m:oMath>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c>
          <w:tcPr>
            <w:tcW w:type="dxa" w:w="1728"/>
          </w:tcPr>
          <w:p>
            <w:r>
              <w:rPr>
                <w:rFonts w:ascii="宋体" w:hAnsi="宋体" w:eastAsia="宋体"/>
                <w:sz w:val="20"/>
              </w:rPr>
            </w:r>
            <w:r>
              <w:rPr>
                <w:rFonts w:ascii="宋体" w:hAnsi="宋体" w:eastAsia="宋体"/>
                <w:sz w:val="20"/>
              </w:rPr>
              <w:t>区分重启、配置热更与磁盘读写等动作的固有风险</w:t>
            </w:r>
          </w:p>
        </w:tc>
      </w:tr>
      <w:tr>
        <w:tc>
          <w:tcPr>
            <w:tcW w:type="dxa" w:w="1728"/>
          </w:tcPr>
          <w:p>
            <w:r>
              <w:rPr>
                <w:rFonts w:ascii="宋体" w:hAnsi="宋体" w:eastAsia="宋体"/>
                <w:sz w:val="20"/>
              </w:rPr>
            </w:r>
            <w:r>
              <w:rPr>
                <w:rFonts w:ascii="宋体" w:hAnsi="宋体" w:eastAsia="宋体"/>
                <w:sz w:val="20"/>
              </w:rPr>
              <w:t>业务重要性加权系数</w:t>
            </w:r>
          </w:p>
        </w:tc>
        <w:tc>
          <w:tcPr>
            <w:tcW w:type="dxa" w:w="1728"/>
          </w:tcPr>
          <w:p>
            <w:r>
              <w:rPr>
                <w:rFonts w:ascii="宋体" w:hAnsi="宋体" w:eastAsia="宋体"/>
                <w:sz w:val="20"/>
              </w:rPr>
            </w:r>
            <m:oMath>
              <m:sSub>
                <m:e>
                  <m:r>
                    <m:rPr>
                      <m:sty m:val="p"/>
                    </m:rPr>
                    <w:rPr>
                      <w:rFonts w:ascii="Cambria Math" w:hAnsi="Cambria Math" w:cs="Cambria Math" w:eastAsia="Cambria Math"/>
                    </w:rPr>
                    <m:t>w</m:t>
                  </m:r>
                </m:e>
                <m:sub>
                  <m:r>
                    <m:rPr>
                      <m:sty m:val="p"/>
                    </m:rPr>
                    <w:rPr>
                      <w:rFonts w:ascii="Cambria Math" w:hAnsi="Cambria Math" w:cs="Cambria Math" w:eastAsia="Cambria Math"/>
                    </w:rPr>
                    <m:t>3</m:t>
                  </m:r>
                </m:sub>
              </m:sSub>
            </m:oMath>
          </w:p>
        </w:tc>
        <w:tc>
          <w:tcPr>
            <w:tcW w:type="dxa" w:w="1728"/>
          </w:tcPr>
          <w:p>
            <w:r>
              <w:rPr>
                <w:rFonts w:ascii="宋体" w:hAnsi="宋体" w:eastAsia="宋体"/>
                <w:sz w:val="20"/>
              </w:rPr>
            </w:r>
            <w:r>
              <w:rPr>
                <w:rFonts w:ascii="宋体" w:hAnsi="宋体" w:eastAsia="宋体"/>
                <w:sz w:val="20"/>
              </w:rPr>
              <w:t>0.30</w:t>
            </w:r>
          </w:p>
        </w:tc>
        <w:tc>
          <w:tcPr>
            <w:tcW w:type="dxa" w:w="1728"/>
          </w:tcPr>
          <w:p>
            <w:r>
              <w:rPr>
                <w:rFonts w:ascii="宋体" w:hAnsi="宋体" w:eastAsia="宋体"/>
                <w:sz w:val="20"/>
              </w:rPr>
            </w:r>
            <m:oMath>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c>
          <w:tcPr>
            <w:tcW w:type="dxa" w:w="1728"/>
          </w:tcPr>
          <w:p>
            <w:r>
              <w:rPr>
                <w:rFonts w:ascii="宋体" w:hAnsi="宋体" w:eastAsia="宋体"/>
                <w:sz w:val="20"/>
              </w:rPr>
            </w:r>
            <w:r>
              <w:rPr>
                <w:rFonts w:ascii="宋体" w:hAnsi="宋体" w:eastAsia="宋体"/>
                <w:sz w:val="20"/>
              </w:rPr>
              <w:t>核心交易链路相比旁路查询赋予更高风险惩罚</w:t>
            </w:r>
          </w:p>
        </w:tc>
      </w:tr>
      <w:tr>
        <w:tc>
          <w:tcPr>
            <w:tcW w:type="dxa" w:w="1728"/>
          </w:tcPr>
          <w:p>
            <w:r>
              <w:rPr>
                <w:rFonts w:ascii="宋体" w:hAnsi="宋体" w:eastAsia="宋体"/>
                <w:sz w:val="20"/>
              </w:rPr>
            </w:r>
            <w:r>
              <w:rPr>
                <w:rFonts w:ascii="宋体" w:hAnsi="宋体" w:eastAsia="宋体"/>
                <w:sz w:val="20"/>
              </w:rPr>
              <w:t>爆炸半径准入上限阈值</w:t>
            </w:r>
          </w:p>
        </w:tc>
        <w:tc>
          <w:tcPr>
            <w:tcW w:type="dxa" w:w="1728"/>
          </w:tcPr>
          <w:p>
            <w:r>
              <w:rPr>
                <w:rFonts w:ascii="宋体" w:hAnsi="宋体" w:eastAsia="宋体"/>
                <w:sz w:val="20"/>
              </w:rPr>
            </w:r>
            <m:oMath>
              <m:sSub>
                <m:e>
                  <m:r>
                    <m:rPr>
                      <m:sty m:val="p"/>
                    </m:rPr>
                    <w:rPr>
                      <w:rFonts w:ascii="Cambria Math" w:hAnsi="Cambria Math" w:cs="Cambria Math" w:eastAsia="Cambria Math"/>
                    </w:rPr>
                    <m:t>τ</m:t>
                  </m:r>
                </m:e>
                <m:sub>
                  <m:r>
                    <m:rPr>
                      <m:sty m:val="p"/>
                    </m:rPr>
                    <w:rPr>
                      <w:rFonts w:ascii="Cambria Math" w:hAnsi="Cambria Math" w:cs="Cambria Math" w:eastAsia="Cambria Math"/>
                    </w:rPr>
                    <m:t>b</m:t>
                  </m:r>
                  <m:r>
                    <m:rPr>
                      <m:sty m:val="p"/>
                    </m:rPr>
                    <w:rPr>
                      <w:rFonts w:ascii="Cambria Math" w:hAnsi="Cambria Math" w:cs="Cambria Math" w:eastAsia="Cambria Math"/>
                    </w:rPr>
                    <m:t>l</m:t>
                  </m:r>
                  <m:r>
                    <m:rPr>
                      <m:sty m:val="p"/>
                    </m:rPr>
                    <w:rPr>
                      <w:rFonts w:ascii="Cambria Math" w:hAnsi="Cambria Math" w:cs="Cambria Math" w:eastAsia="Cambria Math"/>
                    </w:rPr>
                    <m:t>a</m:t>
                  </m:r>
                  <m:r>
                    <m:rPr>
                      <m:sty m:val="p"/>
                    </m:rPr>
                    <w:rPr>
                      <w:rFonts w:ascii="Cambria Math" w:hAnsi="Cambria Math" w:cs="Cambria Math" w:eastAsia="Cambria Math"/>
                    </w:rPr>
                    <m:t>s</m:t>
                  </m:r>
                  <m:r>
                    <m:rPr>
                      <m:sty m:val="p"/>
                    </m:rPr>
                    <w:rPr>
                      <w:rFonts w:ascii="Cambria Math" w:hAnsi="Cambria Math" w:cs="Cambria Math" w:eastAsia="Cambria Math"/>
                    </w:rPr>
                    <m:t>t</m:t>
                  </m:r>
                </m:sub>
              </m:sSub>
            </m:oMath>
          </w:p>
        </w:tc>
        <w:tc>
          <w:tcPr>
            <w:tcW w:type="dxa" w:w="1728"/>
          </w:tcPr>
          <w:p>
            <w:r>
              <w:rPr>
                <w:rFonts w:ascii="宋体" w:hAnsi="宋体" w:eastAsia="宋体"/>
                <w:sz w:val="20"/>
              </w:rPr>
            </w:r>
            <w:r>
              <w:rPr>
                <w:rFonts w:ascii="宋体" w:hAnsi="宋体" w:eastAsia="宋体"/>
                <w:sz w:val="20"/>
              </w:rPr>
              <w:t>0.65</w:t>
            </w:r>
          </w:p>
        </w:tc>
        <w:tc>
          <w:tcPr>
            <w:tcW w:type="dxa" w:w="1728"/>
          </w:tcPr>
          <w:p>
            <w:r>
              <w:rPr>
                <w:rFonts w:ascii="宋体" w:hAnsi="宋体" w:eastAsia="宋体"/>
                <w:sz w:val="20"/>
              </w:rPr>
            </w:r>
            <m:oMath>
              <m:r>
                <m:rPr>
                  <m:sty m:val="p"/>
                </m:rPr>
                <w:rPr>
                  <w:rFonts w:ascii="Cambria Math" w:hAnsi="Cambria Math" w:cs="Cambria Math" w:eastAsia="Cambria Math"/>
                </w:rPr>
                <m:t>[</m:t>
              </m:r>
              <m:r>
                <m:rPr>
                  <m:sty m:val="p"/>
                </m:rPr>
                <w:rPr>
                  <w:rFonts w:ascii="Cambria Math" w:hAnsi="Cambria Math" w:cs="Cambria Math" w:eastAsia="Cambria Math"/>
                </w:rPr>
                <m:t>0.5</m:t>
              </m:r>
              <m:r>
                <m:rPr>
                  <m:sty m:val="p"/>
                </m:rPr>
                <w:rPr>
                  <w:rFonts w:ascii="Cambria Math" w:hAnsi="Cambria Math" w:cs="Cambria Math" w:eastAsia="Cambria Math"/>
                </w:rPr>
                <m:t>,</m:t>
              </m:r>
              <m:r>
                <m:rPr>
                  <m:sty m:val="p"/>
                </m:rPr>
                <w:rPr>
                  <w:rFonts w:ascii="Cambria Math" w:hAnsi="Cambria Math" w:cs="Cambria Math" w:eastAsia="Cambria Math"/>
                </w:rPr>
                <m:t>0.8</m:t>
              </m:r>
              <m:r>
                <m:rPr>
                  <m:sty m:val="p"/>
                </m:rPr>
                <w:rPr>
                  <w:rFonts w:ascii="Cambria Math" w:hAnsi="Cambria Math" w:cs="Cambria Math" w:eastAsia="Cambria Math"/>
                </w:rPr>
                <m:t>]</m:t>
              </m:r>
            </m:oMath>
          </w:p>
        </w:tc>
        <w:tc>
          <w:tcPr>
            <w:tcW w:type="dxa" w:w="1728"/>
          </w:tcPr>
          <w:p>
            <w:r>
              <w:rPr>
                <w:rFonts w:ascii="宋体" w:hAnsi="宋体" w:eastAsia="宋体"/>
                <w:sz w:val="20"/>
              </w:rPr>
            </w:r>
            <w:r>
              <w:rPr>
                <w:rFonts w:ascii="宋体" w:hAnsi="宋体" w:eastAsia="宋体"/>
                <w:sz w:val="20"/>
              </w:rPr>
              <w:t>高于此值必须阻断重规划，防止次生灾害</w:t>
            </w:r>
          </w:p>
        </w:tc>
      </w:tr>
      <w:tr>
        <w:tc>
          <w:tcPr>
            <w:tcW w:type="dxa" w:w="1728"/>
          </w:tcPr>
          <w:p>
            <w:r>
              <w:rPr>
                <w:rFonts w:ascii="宋体" w:hAnsi="宋体" w:eastAsia="宋体"/>
                <w:sz w:val="20"/>
              </w:rPr>
            </w:r>
            <w:r>
              <w:rPr>
                <w:rFonts w:ascii="宋体" w:hAnsi="宋体" w:eastAsia="宋体"/>
                <w:sz w:val="20"/>
              </w:rPr>
              <w:t>指数平滑衰减系数</w:t>
            </w:r>
          </w:p>
        </w:tc>
        <w:tc>
          <w:tcPr>
            <w:tcW w:type="dxa" w:w="1728"/>
          </w:tcPr>
          <w:p>
            <w:r>
              <w:rPr>
                <w:rFonts w:ascii="宋体" w:hAnsi="宋体" w:eastAsia="宋体"/>
                <w:sz w:val="20"/>
              </w:rPr>
            </w:r>
            <m:oMath>
              <m:r>
                <m:rPr>
                  <m:sty m:val="p"/>
                </m:rPr>
                <w:rPr>
                  <w:rFonts w:ascii="Cambria Math" w:hAnsi="Cambria Math" w:cs="Cambria Math" w:eastAsia="Cambria Math"/>
                </w:rPr>
                <m:t>ρ</m:t>
              </m:r>
            </m:oMath>
          </w:p>
        </w:tc>
        <w:tc>
          <w:tcPr>
            <w:tcW w:type="dxa" w:w="1728"/>
          </w:tcPr>
          <w:p>
            <w:r>
              <w:rPr>
                <w:rFonts w:ascii="宋体" w:hAnsi="宋体" w:eastAsia="宋体"/>
                <w:sz w:val="20"/>
              </w:rPr>
            </w:r>
            <w:r>
              <w:rPr>
                <w:rFonts w:ascii="宋体" w:hAnsi="宋体" w:eastAsia="宋体"/>
                <w:sz w:val="20"/>
              </w:rPr>
              <w:t>0.70</w:t>
            </w:r>
          </w:p>
        </w:tc>
        <w:tc>
          <w:tcPr>
            <w:tcW w:type="dxa" w:w="1728"/>
          </w:tcPr>
          <w:p>
            <w:r>
              <w:rPr>
                <w:rFonts w:ascii="宋体" w:hAnsi="宋体" w:eastAsia="宋体"/>
                <w:sz w:val="20"/>
              </w:rPr>
            </w:r>
            <m:oMath>
              <m:r>
                <m:rPr>
                  <m:sty m:val="p"/>
                </m:rPr>
                <w:rPr>
                  <w:rFonts w:ascii="Cambria Math" w:hAnsi="Cambria Math" w:cs="Cambria Math" w:eastAsia="Cambria Math"/>
                </w:rPr>
                <m:t>[</m:t>
              </m:r>
              <m:r>
                <m:rPr>
                  <m:sty m:val="p"/>
                </m:rPr>
                <w:rPr>
                  <w:rFonts w:ascii="Cambria Math" w:hAnsi="Cambria Math" w:cs="Cambria Math" w:eastAsia="Cambria Math"/>
                </w:rPr>
                <m:t>0.5</m:t>
              </m:r>
              <m:r>
                <m:rPr>
                  <m:sty m:val="p"/>
                </m:rPr>
                <w:rPr>
                  <w:rFonts w:ascii="Cambria Math" w:hAnsi="Cambria Math" w:cs="Cambria Math" w:eastAsia="Cambria Math"/>
                </w:rPr>
                <m:t>,</m:t>
              </m:r>
              <m:r>
                <m:rPr>
                  <m:sty m:val="p"/>
                </m:rPr>
                <w:rPr>
                  <w:rFonts w:ascii="Cambria Math" w:hAnsi="Cambria Math" w:cs="Cambria Math" w:eastAsia="Cambria Math"/>
                </w:rPr>
                <m:t>0.9</m:t>
              </m:r>
              <m:r>
                <m:rPr>
                  <m:sty m:val="p"/>
                </m:rPr>
                <w:rPr>
                  <w:rFonts w:ascii="Cambria Math" w:hAnsi="Cambria Math" w:cs="Cambria Math" w:eastAsia="Cambria Math"/>
                </w:rPr>
                <m:t>]</m:t>
              </m:r>
            </m:oMath>
          </w:p>
        </w:tc>
        <w:tc>
          <w:tcPr>
            <w:tcW w:type="dxa" w:w="1728"/>
          </w:tcPr>
          <w:p>
            <w:r>
              <w:rPr>
                <w:rFonts w:ascii="宋体" w:hAnsi="宋体" w:eastAsia="宋体"/>
                <w:sz w:val="20"/>
              </w:rPr>
            </w:r>
            <w:r>
              <w:rPr>
                <w:rFonts w:ascii="宋体" w:hAnsi="宋体" w:eastAsia="宋体"/>
                <w:sz w:val="20"/>
              </w:rPr>
              <w:t>兼顾对突发恶化的敏感度与抵抗瞬时毛刺能力</w:t>
            </w:r>
          </w:p>
        </w:tc>
      </w:tr>
      <w:tr>
        <w:tc>
          <w:tcPr>
            <w:tcW w:type="dxa" w:w="1728"/>
          </w:tcPr>
          <w:p>
            <w:r>
              <w:rPr>
                <w:rFonts w:ascii="宋体" w:hAnsi="宋体" w:eastAsia="宋体"/>
                <w:sz w:val="20"/>
              </w:rPr>
            </w:r>
            <w:r>
              <w:rPr>
                <w:rFonts w:ascii="宋体" w:hAnsi="宋体" w:eastAsia="宋体"/>
                <w:sz w:val="20"/>
              </w:rPr>
              <w:t>错误率惩罚权重</w:t>
            </w:r>
          </w:p>
        </w:tc>
        <w:tc>
          <w:tcPr>
            <w:tcW w:type="dxa" w:w="1728"/>
          </w:tcPr>
          <w:p>
            <w:r>
              <w:rPr>
                <w:rFonts w:ascii="宋体" w:hAnsi="宋体" w:eastAsia="宋体"/>
                <w:sz w:val="20"/>
              </w:rPr>
            </w:r>
            <m:oMath>
              <m:sSub>
                <m:e>
                  <m:r>
                    <m:rPr>
                      <m:sty m:val="p"/>
                    </m:rPr>
                    <w:rPr>
                      <w:rFonts w:ascii="Cambria Math" w:hAnsi="Cambria Math" w:cs="Cambria Math" w:eastAsia="Cambria Math"/>
                    </w:rPr>
                    <m:t>u</m:t>
                  </m:r>
                </m:e>
                <m:sub>
                  <m:r>
                    <m:rPr>
                      <m:sty m:val="p"/>
                    </m:rPr>
                    <w:rPr>
                      <w:rFonts w:ascii="Cambria Math" w:hAnsi="Cambria Math" w:cs="Cambria Math" w:eastAsia="Cambria Math"/>
                    </w:rPr>
                    <m:t>1</m:t>
                  </m:r>
                </m:sub>
              </m:sSub>
            </m:oMath>
          </w:p>
        </w:tc>
        <w:tc>
          <w:tcPr>
            <w:tcW w:type="dxa" w:w="1728"/>
          </w:tcPr>
          <w:p>
            <w:r>
              <w:rPr>
                <w:rFonts w:ascii="宋体" w:hAnsi="宋体" w:eastAsia="宋体"/>
                <w:sz w:val="20"/>
              </w:rPr>
            </w:r>
            <w:r>
              <w:rPr>
                <w:rFonts w:ascii="宋体" w:hAnsi="宋体" w:eastAsia="宋体"/>
                <w:sz w:val="20"/>
              </w:rPr>
              <w:t>0.50</w:t>
            </w:r>
          </w:p>
        </w:tc>
        <w:tc>
          <w:tcPr>
            <w:tcW w:type="dxa" w:w="1728"/>
          </w:tcPr>
          <w:p>
            <w:r>
              <w:rPr>
                <w:rFonts w:ascii="宋体" w:hAnsi="宋体" w:eastAsia="宋体"/>
                <w:sz w:val="20"/>
              </w:rPr>
            </w:r>
            <m:oMath>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c>
          <w:tcPr>
            <w:tcW w:type="dxa" w:w="1728"/>
          </w:tcPr>
          <w:p>
            <w:r>
              <w:rPr>
                <w:rFonts w:ascii="宋体" w:hAnsi="宋体" w:eastAsia="宋体"/>
                <w:sz w:val="20"/>
              </w:rPr>
            </w:r>
            <w:r>
              <w:rPr>
                <w:rFonts w:ascii="宋体" w:hAnsi="宋体" w:eastAsia="宋体"/>
                <w:sz w:val="20"/>
              </w:rPr>
              <w:t>错误率直接关联功能可用性，占主导地位</w:t>
            </w:r>
          </w:p>
        </w:tc>
      </w:tr>
      <w:tr>
        <w:tc>
          <w:tcPr>
            <w:tcW w:type="dxa" w:w="1728"/>
          </w:tcPr>
          <w:p>
            <w:r>
              <w:rPr>
                <w:rFonts w:ascii="宋体" w:hAnsi="宋体" w:eastAsia="宋体"/>
                <w:sz w:val="20"/>
              </w:rPr>
            </w:r>
            <w:r>
              <w:rPr>
                <w:rFonts w:ascii="宋体" w:hAnsi="宋体" w:eastAsia="宋体"/>
                <w:sz w:val="20"/>
              </w:rPr>
              <w:t>时延波动惩罚权重</w:t>
            </w:r>
          </w:p>
        </w:tc>
        <w:tc>
          <w:tcPr>
            <w:tcW w:type="dxa" w:w="1728"/>
          </w:tcPr>
          <w:p>
            <w:r>
              <w:rPr>
                <w:rFonts w:ascii="宋体" w:hAnsi="宋体" w:eastAsia="宋体"/>
                <w:sz w:val="20"/>
              </w:rPr>
            </w:r>
            <m:oMath>
              <m:sSub>
                <m:e>
                  <m:r>
                    <m:rPr>
                      <m:sty m:val="p"/>
                    </m:rPr>
                    <w:rPr>
                      <w:rFonts w:ascii="Cambria Math" w:hAnsi="Cambria Math" w:cs="Cambria Math" w:eastAsia="Cambria Math"/>
                    </w:rPr>
                    <m:t>u</m:t>
                  </m:r>
                </m:e>
                <m:sub>
                  <m:r>
                    <m:rPr>
                      <m:sty m:val="p"/>
                    </m:rPr>
                    <w:rPr>
                      <w:rFonts w:ascii="Cambria Math" w:hAnsi="Cambria Math" w:cs="Cambria Math" w:eastAsia="Cambria Math"/>
                    </w:rPr>
                    <m:t>2</m:t>
                  </m:r>
                </m:sub>
              </m:sSub>
            </m:oMath>
          </w:p>
        </w:tc>
        <w:tc>
          <w:tcPr>
            <w:tcW w:type="dxa" w:w="1728"/>
          </w:tcPr>
          <w:p>
            <w:r>
              <w:rPr>
                <w:rFonts w:ascii="宋体" w:hAnsi="宋体" w:eastAsia="宋体"/>
                <w:sz w:val="20"/>
              </w:rPr>
            </w:r>
            <w:r>
              <w:rPr>
                <w:rFonts w:ascii="宋体" w:hAnsi="宋体" w:eastAsia="宋体"/>
                <w:sz w:val="20"/>
              </w:rPr>
              <w:t>0.30</w:t>
            </w:r>
          </w:p>
        </w:tc>
        <w:tc>
          <w:tcPr>
            <w:tcW w:type="dxa" w:w="1728"/>
          </w:tcPr>
          <w:p>
            <w:r>
              <w:rPr>
                <w:rFonts w:ascii="宋体" w:hAnsi="宋体" w:eastAsia="宋体"/>
                <w:sz w:val="20"/>
              </w:rPr>
            </w:r>
            <m:oMath>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c>
          <w:tcPr>
            <w:tcW w:type="dxa" w:w="1728"/>
          </w:tcPr>
          <w:p>
            <w:r>
              <w:rPr>
                <w:rFonts w:ascii="宋体" w:hAnsi="宋体" w:eastAsia="宋体"/>
                <w:sz w:val="20"/>
              </w:rPr>
            </w:r>
            <w:r>
              <w:rPr>
                <w:rFonts w:ascii="宋体" w:hAnsi="宋体" w:eastAsia="宋体"/>
                <w:sz w:val="20"/>
              </w:rPr>
              <w:t>评估微服务处理容量是否真正恢复</w:t>
            </w:r>
          </w:p>
        </w:tc>
      </w:tr>
      <w:tr>
        <w:tc>
          <w:tcPr>
            <w:tcW w:type="dxa" w:w="1728"/>
          </w:tcPr>
          <w:p>
            <w:r>
              <w:rPr>
                <w:rFonts w:ascii="宋体" w:hAnsi="宋体" w:eastAsia="宋体"/>
                <w:sz w:val="20"/>
              </w:rPr>
            </w:r>
            <w:r>
              <w:rPr>
                <w:rFonts w:ascii="宋体" w:hAnsi="宋体" w:eastAsia="宋体"/>
                <w:sz w:val="20"/>
              </w:rPr>
              <w:t>关联告警惩罚权重</w:t>
            </w:r>
          </w:p>
        </w:tc>
        <w:tc>
          <w:tcPr>
            <w:tcW w:type="dxa" w:w="1728"/>
          </w:tcPr>
          <w:p>
            <w:r>
              <w:rPr>
                <w:rFonts w:ascii="宋体" w:hAnsi="宋体" w:eastAsia="宋体"/>
                <w:sz w:val="20"/>
              </w:rPr>
            </w:r>
            <m:oMath>
              <m:sSub>
                <m:e>
                  <m:r>
                    <m:rPr>
                      <m:sty m:val="p"/>
                    </m:rPr>
                    <w:rPr>
                      <w:rFonts w:ascii="Cambria Math" w:hAnsi="Cambria Math" w:cs="Cambria Math" w:eastAsia="Cambria Math"/>
                    </w:rPr>
                    <m:t>u</m:t>
                  </m:r>
                </m:e>
                <m:sub>
                  <m:r>
                    <m:rPr>
                      <m:sty m:val="p"/>
                    </m:rPr>
                    <w:rPr>
                      <w:rFonts w:ascii="Cambria Math" w:hAnsi="Cambria Math" w:cs="Cambria Math" w:eastAsia="Cambria Math"/>
                    </w:rPr>
                    <m:t>3</m:t>
                  </m:r>
                </m:sub>
              </m:sSub>
            </m:oMath>
          </w:p>
        </w:tc>
        <w:tc>
          <w:tcPr>
            <w:tcW w:type="dxa" w:w="1728"/>
          </w:tcPr>
          <w:p>
            <w:r>
              <w:rPr>
                <w:rFonts w:ascii="宋体" w:hAnsi="宋体" w:eastAsia="宋体"/>
                <w:sz w:val="20"/>
              </w:rPr>
            </w:r>
            <w:r>
              <w:rPr>
                <w:rFonts w:ascii="宋体" w:hAnsi="宋体" w:eastAsia="宋体"/>
                <w:sz w:val="20"/>
              </w:rPr>
              <w:t>0.20</w:t>
            </w:r>
          </w:p>
        </w:tc>
        <w:tc>
          <w:tcPr>
            <w:tcW w:type="dxa" w:w="1728"/>
          </w:tcPr>
          <w:p>
            <w:r>
              <w:rPr>
                <w:rFonts w:ascii="宋体" w:hAnsi="宋体" w:eastAsia="宋体"/>
                <w:sz w:val="20"/>
              </w:rPr>
            </w:r>
            <m:oMath>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c>
          <w:tcPr>
            <w:tcW w:type="dxa" w:w="1728"/>
          </w:tcPr>
          <w:p>
            <w:r>
              <w:rPr>
                <w:rFonts w:ascii="宋体" w:hAnsi="宋体" w:eastAsia="宋体"/>
                <w:sz w:val="20"/>
              </w:rPr>
            </w:r>
            <w:r>
              <w:rPr>
                <w:rFonts w:ascii="宋体" w:hAnsi="宋体" w:eastAsia="宋体"/>
                <w:sz w:val="20"/>
              </w:rPr>
              <w:t>辅助评估是否有连带次生隐患</w:t>
            </w:r>
          </w:p>
        </w:tc>
      </w:tr>
      <w:tr>
        <w:tc>
          <w:tcPr>
            <w:tcW w:type="dxa" w:w="1728"/>
          </w:tcPr>
          <w:p>
            <w:r>
              <w:rPr>
                <w:rFonts w:ascii="宋体" w:hAnsi="宋体" w:eastAsia="宋体"/>
                <w:sz w:val="20"/>
              </w:rPr>
            </w:r>
            <w:r>
              <w:rPr>
                <w:rFonts w:ascii="宋体" w:hAnsi="宋体" w:eastAsia="宋体"/>
                <w:sz w:val="20"/>
              </w:rPr>
              <w:t>金丝雀放行准入阈值</w:t>
            </w:r>
          </w:p>
        </w:tc>
        <w:tc>
          <w:tcPr>
            <w:tcW w:type="dxa" w:w="1728"/>
          </w:tcPr>
          <w:p>
            <w:r>
              <w:rPr>
                <w:rFonts w:ascii="宋体" w:hAnsi="宋体" w:eastAsia="宋体"/>
                <w:sz w:val="20"/>
              </w:rPr>
            </w:r>
            <m:oMath>
              <m:sSub>
                <m:e>
                  <m:r>
                    <m:rPr>
                      <m:sty m:val="p"/>
                    </m:rPr>
                    <w:rPr>
                      <w:rFonts w:ascii="Cambria Math" w:hAnsi="Cambria Math" w:cs="Cambria Math" w:eastAsia="Cambria Math"/>
                    </w:rPr>
                    <m:t>τ</m:t>
                  </m:r>
                </m:e>
                <m:sub>
                  <m:r>
                    <m:rPr>
                      <m:sty m:val="p"/>
                    </m:rPr>
                    <w:rPr>
                      <w:rFonts w:ascii="Cambria Math" w:hAnsi="Cambria Math" w:cs="Cambria Math" w:eastAsia="Cambria Math"/>
                    </w:rPr>
                    <m:t>p</m:t>
                  </m:r>
                  <m:r>
                    <m:rPr>
                      <m:sty m:val="p"/>
                    </m:rPr>
                    <w:rPr>
                      <w:rFonts w:ascii="Cambria Math" w:hAnsi="Cambria Math" w:cs="Cambria Math" w:eastAsia="Cambria Math"/>
                    </w:rPr>
                    <m:t>a</m:t>
                  </m:r>
                  <m:r>
                    <m:rPr>
                      <m:sty m:val="p"/>
                    </m:rPr>
                    <w:rPr>
                      <w:rFonts w:ascii="Cambria Math" w:hAnsi="Cambria Math" w:cs="Cambria Math" w:eastAsia="Cambria Math"/>
                    </w:rPr>
                    <m:t>s</m:t>
                  </m:r>
                  <m:r>
                    <m:rPr>
                      <m:sty m:val="p"/>
                    </m:rPr>
                    <w:rPr>
                      <w:rFonts w:ascii="Cambria Math" w:hAnsi="Cambria Math" w:cs="Cambria Math" w:eastAsia="Cambria Math"/>
                    </w:rPr>
                    <m:t>s</m:t>
                  </m:r>
                </m:sub>
              </m:sSub>
            </m:oMath>
          </w:p>
        </w:tc>
        <w:tc>
          <w:tcPr>
            <w:tcW w:type="dxa" w:w="1728"/>
          </w:tcPr>
          <w:p>
            <w:r>
              <w:rPr>
                <w:rFonts w:ascii="宋体" w:hAnsi="宋体" w:eastAsia="宋体"/>
                <w:sz w:val="20"/>
              </w:rPr>
            </w:r>
            <w:r>
              <w:rPr>
                <w:rFonts w:ascii="宋体" w:hAnsi="宋体" w:eastAsia="宋体"/>
                <w:sz w:val="20"/>
              </w:rPr>
              <w:t>0.85</w:t>
            </w:r>
          </w:p>
        </w:tc>
        <w:tc>
          <w:tcPr>
            <w:tcW w:type="dxa" w:w="1728"/>
          </w:tcPr>
          <w:p>
            <w:r>
              <w:rPr>
                <w:rFonts w:ascii="宋体" w:hAnsi="宋体" w:eastAsia="宋体"/>
                <w:sz w:val="20"/>
              </w:rPr>
            </w:r>
            <m:oMath>
              <m:r>
                <m:rPr>
                  <m:sty m:val="p"/>
                </m:rPr>
                <w:rPr>
                  <w:rFonts w:ascii="Cambria Math" w:hAnsi="Cambria Math" w:cs="Cambria Math" w:eastAsia="Cambria Math"/>
                </w:rPr>
                <m:t>[</m:t>
              </m:r>
              <m:r>
                <m:rPr>
                  <m:sty m:val="p"/>
                </m:rPr>
                <w:rPr>
                  <w:rFonts w:ascii="Cambria Math" w:hAnsi="Cambria Math" w:cs="Cambria Math" w:eastAsia="Cambria Math"/>
                </w:rPr>
                <m:t>0.75</m:t>
              </m:r>
              <m:r>
                <m:rPr>
                  <m:sty m:val="p"/>
                </m:rPr>
                <w:rPr>
                  <w:rFonts w:ascii="Cambria Math" w:hAnsi="Cambria Math" w:cs="Cambria Math" w:eastAsia="Cambria Math"/>
                </w:rPr>
                <m:t>,</m:t>
              </m:r>
              <m:r>
                <m:rPr>
                  <m:sty m:val="p"/>
                </m:rPr>
                <w:rPr>
                  <w:rFonts w:ascii="Cambria Math" w:hAnsi="Cambria Math" w:cs="Cambria Math" w:eastAsia="Cambria Math"/>
                </w:rPr>
                <m:t>0.95</m:t>
              </m:r>
              <m:r>
                <m:rPr>
                  <m:sty m:val="p"/>
                </m:rPr>
                <w:rPr>
                  <w:rFonts w:ascii="Cambria Math" w:hAnsi="Cambria Math" w:cs="Cambria Math" w:eastAsia="Cambria Math"/>
                </w:rPr>
                <m:t>]</m:t>
              </m:r>
            </m:oMath>
          </w:p>
        </w:tc>
        <w:tc>
          <w:tcPr>
            <w:tcW w:type="dxa" w:w="1728"/>
          </w:tcPr>
          <w:p>
            <w:r>
              <w:rPr>
                <w:rFonts w:ascii="宋体" w:hAnsi="宋体" w:eastAsia="宋体"/>
                <w:sz w:val="20"/>
              </w:rPr>
            </w:r>
            <w:r>
              <w:rPr>
                <w:rFonts w:ascii="宋体" w:hAnsi="宋体" w:eastAsia="宋体"/>
                <w:sz w:val="20"/>
              </w:rPr>
              <w:t>只有健康度达到该值才允许扩增业务流量</w:t>
            </w:r>
          </w:p>
        </w:tc>
      </w:tr>
      <w:tr>
        <w:tc>
          <w:tcPr>
            <w:tcW w:type="dxa" w:w="1728"/>
          </w:tcPr>
          <w:p>
            <w:r>
              <w:rPr>
                <w:rFonts w:ascii="宋体" w:hAnsi="宋体" w:eastAsia="宋体"/>
                <w:sz w:val="20"/>
              </w:rPr>
            </w:r>
            <w:r>
              <w:rPr>
                <w:rFonts w:ascii="宋体" w:hAnsi="宋体" w:eastAsia="宋体"/>
                <w:sz w:val="20"/>
              </w:rPr>
              <w:t>自适应放行调节增益</w:t>
            </w:r>
          </w:p>
        </w:tc>
        <w:tc>
          <w:tcPr>
            <w:tcW w:type="dxa" w:w="1728"/>
          </w:tcPr>
          <w:p>
            <w:r>
              <w:rPr>
                <w:rFonts w:ascii="宋体" w:hAnsi="宋体" w:eastAsia="宋体"/>
                <w:sz w:val="20"/>
              </w:rPr>
            </w:r>
            <m:oMath>
              <m:r>
                <m:rPr>
                  <m:sty m:val="p"/>
                </m:rPr>
                <w:rPr>
                  <w:rFonts w:ascii="Cambria Math" w:hAnsi="Cambria Math" w:cs="Cambria Math" w:eastAsia="Cambria Math"/>
                </w:rPr>
                <m:t>γ</m:t>
              </m:r>
            </m:oMath>
          </w:p>
        </w:tc>
        <w:tc>
          <w:tcPr>
            <w:tcW w:type="dxa" w:w="1728"/>
          </w:tcPr>
          <w:p>
            <w:r>
              <w:rPr>
                <w:rFonts w:ascii="宋体" w:hAnsi="宋体" w:eastAsia="宋体"/>
                <w:sz w:val="20"/>
              </w:rPr>
            </w:r>
            <w:r>
              <w:rPr>
                <w:rFonts w:ascii="宋体" w:hAnsi="宋体" w:eastAsia="宋体"/>
                <w:sz w:val="20"/>
              </w:rPr>
              <w:t>0.30</w:t>
            </w:r>
          </w:p>
        </w:tc>
        <w:tc>
          <w:tcPr>
            <w:tcW w:type="dxa" w:w="1728"/>
          </w:tcPr>
          <w:p>
            <w:r>
              <w:rPr>
                <w:rFonts w:ascii="宋体" w:hAnsi="宋体" w:eastAsia="宋体"/>
                <w:sz w:val="20"/>
              </w:rPr>
            </w:r>
            <m:oMath>
              <m:r>
                <m:rPr>
                  <m:sty m:val="p"/>
                </m:rPr>
                <w:rPr>
                  <w:rFonts w:ascii="Cambria Math" w:hAnsi="Cambria Math" w:cs="Cambria Math" w:eastAsia="Cambria Math"/>
                </w:rPr>
                <m:t>[</m:t>
              </m:r>
              <m:r>
                <m:rPr>
                  <m:sty m:val="p"/>
                </m:rPr>
                <w:rPr>
                  <w:rFonts w:ascii="Cambria Math" w:hAnsi="Cambria Math" w:cs="Cambria Math" w:eastAsia="Cambria Math"/>
                </w:rPr>
                <m:t>0.1</m:t>
              </m:r>
              <m:r>
                <m:rPr>
                  <m:sty m:val="p"/>
                </m:rPr>
                <w:rPr>
                  <w:rFonts w:ascii="Cambria Math" w:hAnsi="Cambria Math" w:cs="Cambria Math" w:eastAsia="Cambria Math"/>
                </w:rPr>
                <m:t>,</m:t>
              </m:r>
              <m:r>
                <m:rPr>
                  <m:sty m:val="p"/>
                </m:rPr>
                <w:rPr>
                  <w:rFonts w:ascii="Cambria Math" w:hAnsi="Cambria Math" w:cs="Cambria Math" w:eastAsia="Cambria Math"/>
                </w:rPr>
                <m:t>0.5</m:t>
              </m:r>
              <m:r>
                <m:rPr>
                  <m:sty m:val="p"/>
                </m:rPr>
                <w:rPr>
                  <w:rFonts w:ascii="Cambria Math" w:hAnsi="Cambria Math" w:cs="Cambria Math" w:eastAsia="Cambria Math"/>
                </w:rPr>
                <m:t>]</m:t>
              </m:r>
            </m:oMath>
          </w:p>
        </w:tc>
        <w:tc>
          <w:tcPr>
            <w:tcW w:type="dxa" w:w="1728"/>
          </w:tcPr>
          <w:p>
            <w:r>
              <w:rPr>
                <w:rFonts w:ascii="宋体" w:hAnsi="宋体" w:eastAsia="宋体"/>
                <w:sz w:val="20"/>
              </w:rPr>
            </w:r>
            <w:r>
              <w:rPr>
                <w:rFonts w:ascii="宋体" w:hAnsi="宋体" w:eastAsia="宋体"/>
                <w:sz w:val="20"/>
              </w:rPr>
              <w:t>控制从微量金丝雀过渡到全量自愈的速度</w:t>
            </w:r>
          </w:p>
        </w:tc>
      </w:tr>
      <w:tr>
        <w:tc>
          <w:tcPr>
            <w:tcW w:type="dxa" w:w="1728"/>
          </w:tcPr>
          <w:p>
            <w:r>
              <w:rPr>
                <w:rFonts w:ascii="宋体" w:hAnsi="宋体" w:eastAsia="宋体"/>
                <w:sz w:val="20"/>
              </w:rPr>
            </w:r>
            <w:r>
              <w:rPr>
                <w:rFonts w:ascii="宋体" w:hAnsi="宋体" w:eastAsia="宋体"/>
                <w:sz w:val="20"/>
              </w:rPr>
              <w:t>原子回滚触发安全阈值</w:t>
            </w:r>
          </w:p>
        </w:tc>
        <w:tc>
          <w:tcPr>
            <w:tcW w:type="dxa" w:w="1728"/>
          </w:tcPr>
          <w:p>
            <w:r>
              <w:rPr>
                <w:rFonts w:ascii="宋体" w:hAnsi="宋体" w:eastAsia="宋体"/>
                <w:sz w:val="20"/>
              </w:rPr>
            </w:r>
            <m:oMath>
              <m:sSub>
                <m:e>
                  <m:r>
                    <m:rPr>
                      <m:sty m:val="p"/>
                    </m:rPr>
                    <w:rPr>
                      <w:rFonts w:ascii="Cambria Math" w:hAnsi="Cambria Math" w:cs="Cambria Math" w:eastAsia="Cambria Math"/>
                    </w:rPr>
                    <m:t>τ</m:t>
                  </m:r>
                </m:e>
                <m:sub>
                  <m:r>
                    <m:rPr>
                      <m:sty m:val="p"/>
                    </m:rPr>
                    <w:rPr>
                      <w:rFonts w:ascii="Cambria Math" w:hAnsi="Cambria Math" w:cs="Cambria Math" w:eastAsia="Cambria Math"/>
                    </w:rPr>
                    <m:t>r</m:t>
                  </m:r>
                  <m:r>
                    <m:rPr>
                      <m:sty m:val="p"/>
                    </m:rPr>
                    <w:rPr>
                      <w:rFonts w:ascii="Cambria Math" w:hAnsi="Cambria Math" w:cs="Cambria Math" w:eastAsia="Cambria Math"/>
                    </w:rPr>
                    <m:t>o</m:t>
                  </m:r>
                  <m:r>
                    <m:rPr>
                      <m:sty m:val="p"/>
                    </m:rPr>
                    <w:rPr>
                      <w:rFonts w:ascii="Cambria Math" w:hAnsi="Cambria Math" w:cs="Cambria Math" w:eastAsia="Cambria Math"/>
                    </w:rPr>
                    <m:t>l</m:t>
                  </m:r>
                  <m:r>
                    <m:rPr>
                      <m:sty m:val="p"/>
                    </m:rPr>
                    <w:rPr>
                      <w:rFonts w:ascii="Cambria Math" w:hAnsi="Cambria Math" w:cs="Cambria Math" w:eastAsia="Cambria Math"/>
                    </w:rPr>
                    <m:t>l</m:t>
                  </m:r>
                  <m:r>
                    <m:rPr>
                      <m:sty m:val="p"/>
                    </m:rPr>
                    <w:rPr>
                      <w:rFonts w:ascii="Cambria Math" w:hAnsi="Cambria Math" w:cs="Cambria Math" w:eastAsia="Cambria Math"/>
                    </w:rPr>
                    <m:t>b</m:t>
                  </m:r>
                  <m:r>
                    <m:rPr>
                      <m:sty m:val="p"/>
                    </m:rPr>
                    <w:rPr>
                      <w:rFonts w:ascii="Cambria Math" w:hAnsi="Cambria Math" w:cs="Cambria Math" w:eastAsia="Cambria Math"/>
                    </w:rPr>
                    <m:t>a</m:t>
                  </m:r>
                  <m:r>
                    <m:rPr>
                      <m:sty m:val="p"/>
                    </m:rPr>
                    <w:rPr>
                      <w:rFonts w:ascii="Cambria Math" w:hAnsi="Cambria Math" w:cs="Cambria Math" w:eastAsia="Cambria Math"/>
                    </w:rPr>
                    <m:t>c</m:t>
                  </m:r>
                  <m:r>
                    <m:rPr>
                      <m:sty m:val="p"/>
                    </m:rPr>
                    <w:rPr>
                      <w:rFonts w:ascii="Cambria Math" w:hAnsi="Cambria Math" w:cs="Cambria Math" w:eastAsia="Cambria Math"/>
                    </w:rPr>
                    <m:t>k</m:t>
                  </m:r>
                </m:sub>
              </m:sSub>
            </m:oMath>
          </w:p>
        </w:tc>
        <w:tc>
          <w:tcPr>
            <w:tcW w:type="dxa" w:w="1728"/>
          </w:tcPr>
          <w:p>
            <w:r>
              <w:rPr>
                <w:rFonts w:ascii="宋体" w:hAnsi="宋体" w:eastAsia="宋体"/>
                <w:sz w:val="20"/>
              </w:rPr>
            </w:r>
            <w:r>
              <w:rPr>
                <w:rFonts w:ascii="宋体" w:hAnsi="宋体" w:eastAsia="宋体"/>
                <w:sz w:val="20"/>
              </w:rPr>
              <w:t>0.60</w:t>
            </w:r>
          </w:p>
        </w:tc>
        <w:tc>
          <w:tcPr>
            <w:tcW w:type="dxa" w:w="1728"/>
          </w:tcPr>
          <w:p>
            <w:r>
              <w:rPr>
                <w:rFonts w:ascii="宋体" w:hAnsi="宋体" w:eastAsia="宋体"/>
                <w:sz w:val="20"/>
              </w:rPr>
            </w:r>
            <m:oMath>
              <m:r>
                <m:rPr>
                  <m:sty m:val="p"/>
                </m:rPr>
                <w:rPr>
                  <w:rFonts w:ascii="Cambria Math" w:hAnsi="Cambria Math" w:cs="Cambria Math" w:eastAsia="Cambria Math"/>
                </w:rPr>
                <m:t>[</m:t>
              </m:r>
              <m:r>
                <m:rPr>
                  <m:sty m:val="p"/>
                </m:rPr>
                <w:rPr>
                  <w:rFonts w:ascii="Cambria Math" w:hAnsi="Cambria Math" w:cs="Cambria Math" w:eastAsia="Cambria Math"/>
                </w:rPr>
                <m:t>0.4</m:t>
              </m:r>
              <m:r>
                <m:rPr>
                  <m:sty m:val="p"/>
                </m:rPr>
                <w:rPr>
                  <w:rFonts w:ascii="Cambria Math" w:hAnsi="Cambria Math" w:cs="Cambria Math" w:eastAsia="Cambria Math"/>
                </w:rPr>
                <m:t>,</m:t>
              </m:r>
              <m:r>
                <m:rPr>
                  <m:sty m:val="p"/>
                </m:rPr>
                <w:rPr>
                  <w:rFonts w:ascii="Cambria Math" w:hAnsi="Cambria Math" w:cs="Cambria Math" w:eastAsia="Cambria Math"/>
                </w:rPr>
                <m:t>0.7</m:t>
              </m:r>
              <m:r>
                <m:rPr>
                  <m:sty m:val="p"/>
                </m:rPr>
                <w:rPr>
                  <w:rFonts w:ascii="Cambria Math" w:hAnsi="Cambria Math" w:cs="Cambria Math" w:eastAsia="Cambria Math"/>
                </w:rPr>
                <m:t>]</m:t>
              </m:r>
            </m:oMath>
          </w:p>
        </w:tc>
        <w:tc>
          <w:tcPr>
            <w:tcW w:type="dxa" w:w="1728"/>
          </w:tcPr>
          <w:p>
            <w:r>
              <w:rPr>
                <w:rFonts w:ascii="宋体" w:hAnsi="宋体" w:eastAsia="宋体"/>
                <w:sz w:val="20"/>
              </w:rPr>
            </w:r>
            <w:r>
              <w:rPr>
                <w:rFonts w:ascii="宋体" w:hAnsi="宋体" w:eastAsia="宋体"/>
                <w:sz w:val="20"/>
              </w:rPr>
              <w:t>低于此值立即判定自愈动作失效，秒级回滚</w:t>
            </w:r>
          </w:p>
        </w:tc>
      </w:tr>
    </w:tbl>
    <w:p>
      <w:pPr>
        <w:spacing w:after="160" w:before="160"/>
      </w:pPr>
      <w:r>
        <w:rPr>
          <w:rFonts w:ascii="宋体" w:hAnsi="宋体" w:eastAsia="宋体"/>
          <w:color w:val="AAAAAA"/>
          <w:sz w:val="16"/>
        </w:rPr>
        <w:t>────────────────────────────────</w:t>
      </w:r>
    </w:p>
    <w:p>
      <w:pPr>
        <w:pStyle w:val="Heading2"/>
      </w:pPr>
      <w:r>
        <w:rPr>
          <w:rFonts w:ascii="黑体" w:hAnsi="黑体" w:eastAsia="黑体"/>
        </w:rPr>
        <w:t>四、与现有技术相比，本发明具有哪些优点？</w:t>
      </w:r>
    </w:p>
    <w:p>
      <w:pPr>
        <w:spacing w:after="120" w:line="276" w:lineRule="auto"/>
      </w:pPr>
      <w:r>
        <w:rPr>
          <w:rFonts w:ascii="宋体" w:hAnsi="宋体" w:eastAsia="宋体"/>
          <w:sz w:val="21"/>
        </w:rPr>
        <w:t>与现有微服务运维及自动化修复技术相比，本发明具有以下显著优势：</w:t>
      </w:r>
    </w:p>
    <w:p>
      <w:pPr>
        <w:pStyle w:val="ListNumber"/>
        <w:spacing w:after="60"/>
        <w:numPr>
          <w:ilvl w:val="0"/>
          <w:numId w:val="15"/>
        </w:numPr>
      </w:pPr>
      <w:r>
        <w:rPr>
          <w:rFonts w:ascii="宋体" w:hAnsi="宋体" w:eastAsia="宋体"/>
          <w:b/>
          <w:sz w:val="21"/>
        </w:rPr>
        <w:t>从根源杜绝模型幻觉引发的生产次生灾害（Zero Secondary Disaster）</w:t>
      </w:r>
      <w:r>
        <w:rPr>
          <w:rFonts w:ascii="宋体" w:hAnsi="宋体" w:eastAsia="宋体"/>
          <w:sz w:val="21"/>
        </w:rPr>
        <w:t>：</w:t>
      </w:r>
    </w:p>
    <w:p>
      <w:pPr>
        <w:spacing w:after="120" w:line="276" w:lineRule="auto"/>
      </w:pPr>
      <w:r>
        <w:rPr>
          <w:rFonts w:ascii="宋体" w:hAnsi="宋体" w:eastAsia="宋体"/>
          <w:sz w:val="21"/>
        </w:rPr>
        <w:t xml:space="preserve">传统基于大模型的运维方案直接对接线上环境，存在指令盲目和误删数据的致命风险。本发明创新性引入“双智能体对抗博弈”机制，规划智能体专职提出修复假设，安全风控智能体专职依托微服务拓扑图计算爆炸半径 </w:t>
      </w:r>
      <m:oMath>
        <m:sSub>
          <m:e>
            <m:r>
              <m:rPr>
                <m:sty m:val="p"/>
              </m:rPr>
              <w:rPr>
                <w:rFonts w:ascii="Cambria Math" w:hAnsi="Cambria Math" w:cs="Cambria Math" w:eastAsia="Cambria Math"/>
              </w:rPr>
              <m:t>B</m:t>
            </m:r>
          </m:e>
          <m:sub>
            <m:r>
              <m:rPr>
                <m:sty m:val="p"/>
              </m:rPr>
              <w:rPr>
                <w:rFonts w:ascii="Cambria Math" w:hAnsi="Cambria Math" w:cs="Cambria Math" w:eastAsia="Cambria Math"/>
              </w:rPr>
              <m:t>k</m:t>
            </m:r>
          </m:sub>
        </m:sSub>
      </m:oMath>
      <w:r>
        <w:rPr>
          <w:rFonts w:ascii="宋体" w:hAnsi="宋体" w:eastAsia="宋体"/>
          <w:sz w:val="21"/>
        </w:rPr>
        <w:t xml:space="preserve"> 并执行形式化拦截，实现了自愈方案在逻辑层与权限层的双重硬约束。</w:t>
      </w:r>
    </w:p>
    <w:p>
      <w:pPr>
        <w:pStyle w:val="ListNumber"/>
        <w:spacing w:after="60"/>
        <w:numPr>
          <w:ilvl w:val="0"/>
          <w:numId w:val="15"/>
        </w:numPr>
      </w:pPr>
      <w:r>
        <w:rPr>
          <w:rFonts w:ascii="宋体" w:hAnsi="宋体" w:eastAsia="宋体"/>
          <w:b/>
          <w:sz w:val="21"/>
        </w:rPr>
        <w:t>极轻量级的容器级沙箱隔离验证（Ultra-Lightweight Sandbox）</w:t>
      </w:r>
      <w:r>
        <w:rPr>
          <w:rFonts w:ascii="宋体" w:hAnsi="宋体" w:eastAsia="宋体"/>
          <w:sz w:val="21"/>
        </w:rPr>
        <w:t>：</w:t>
      </w:r>
    </w:p>
    <w:p>
      <w:pPr>
        <w:spacing w:after="120" w:line="276" w:lineRule="auto"/>
      </w:pPr>
      <w:r>
        <w:rPr>
          <w:rFonts w:ascii="宋体" w:hAnsi="宋体" w:eastAsia="宋体"/>
          <w:sz w:val="21"/>
        </w:rPr>
        <w:t>相比传统需要克隆整套系统及全量中间件的沉重测试环境，本发明依托 Kubernetes 动态控制器在数秒内仅克隆单个故障微服务容器，结合 Service Mesh 动态切分 1%~5% 的真实请求或影子镜像，在完全隔离的真实生产网络上下文中完成动作验证，试错成本接近于零，启动延迟由分钟级大幅缩短至秒级。</w:t>
      </w:r>
    </w:p>
    <w:p>
      <w:pPr>
        <w:pStyle w:val="ListNumber"/>
        <w:spacing w:after="60"/>
        <w:numPr>
          <w:ilvl w:val="0"/>
          <w:numId w:val="15"/>
        </w:numPr>
      </w:pPr>
      <w:r>
        <w:rPr>
          <w:rFonts w:ascii="宋体" w:hAnsi="宋体" w:eastAsia="宋体"/>
          <w:b/>
          <w:sz w:val="21"/>
        </w:rPr>
        <w:t>基于健康度反馈的自适应平滑放行（Closed-Loop Adaptive Rollout）</w:t>
      </w:r>
      <w:r>
        <w:rPr>
          <w:rFonts w:ascii="宋体" w:hAnsi="宋体" w:eastAsia="宋体"/>
          <w:sz w:val="21"/>
        </w:rPr>
        <w:t>：</w:t>
      </w:r>
    </w:p>
    <w:p>
      <w:pPr>
        <w:spacing w:after="120" w:line="276" w:lineRule="auto"/>
      </w:pPr>
      <w:r>
        <w:rPr>
          <w:rFonts w:ascii="宋体" w:hAnsi="宋体" w:eastAsia="宋体"/>
          <w:sz w:val="21"/>
        </w:rPr>
        <w:t xml:space="preserve">突破了现有金丝雀发布静态配置比例的缺陷，通过多维指标指数平滑构建健康度评分 </w:t>
      </w:r>
      <m:oMath>
        <m:sSub>
          <m:e>
            <m:r>
              <m:rPr>
                <m:sty m:val="p"/>
              </m:rPr>
              <w:rPr>
                <w:rFonts w:ascii="Cambria Math" w:hAnsi="Cambria Math" w:cs="Cambria Math" w:eastAsia="Cambria Math"/>
              </w:rPr>
              <m:t>S</m:t>
            </m:r>
          </m:e>
          <m:sub>
            <m:r>
              <m:rPr>
                <m:sty m:val="p"/>
              </m:rPr>
              <w:rPr>
                <w:rFonts w:ascii="Cambria Math" w:hAnsi="Cambria Math" w:cs="Cambria Math" w:eastAsia="Cambria Math"/>
              </w:rPr>
              <m:t>t</m:t>
            </m:r>
          </m:sub>
        </m:sSub>
      </m:oMath>
      <w:r>
        <w:rPr>
          <w:rFonts w:ascii="宋体" w:hAnsi="宋体" w:eastAsia="宋体"/>
          <w:sz w:val="21"/>
        </w:rPr>
        <w:t xml:space="preserve">，根据健康度富余量自适应调整流量放行增量 </w:t>
      </w:r>
      <m:oMath>
        <m:sSub>
          <m:e>
            <m:r>
              <m:rPr>
                <m:sty m:val="p"/>
              </m:rPr>
              <w:rPr>
                <w:rFonts w:ascii="Cambria Math" w:hAnsi="Cambria Math" w:cs="Cambria Math" w:eastAsia="Cambria Math"/>
              </w:rPr>
              <m:t>θ</m:t>
            </m:r>
          </m:e>
          <m:sub>
            <m:r>
              <m:rPr>
                <m:sty m:val="p"/>
              </m:rPr>
              <w:rPr>
                <w:rFonts w:ascii="Cambria Math" w:hAnsi="Cambria Math" w:cs="Cambria Math" w:eastAsia="Cambria Math"/>
              </w:rPr>
              <m:t>m</m:t>
            </m:r>
          </m:sub>
        </m:sSub>
      </m:oMath>
      <w:r>
        <w:rPr>
          <w:rFonts w:ascii="宋体" w:hAnsi="宋体" w:eastAsia="宋体"/>
          <w:sz w:val="21"/>
        </w:rPr>
        <w:t>，既避免了故障未愈时的盲目大比例放行，又在确认疗效显著时快速完成全网恢复，大幅压缩平均故障恢复时间（MTTR）。</w:t>
      </w:r>
    </w:p>
    <w:p>
      <w:pPr>
        <w:pStyle w:val="ListNumber"/>
        <w:spacing w:after="60"/>
        <w:numPr>
          <w:ilvl w:val="0"/>
          <w:numId w:val="15"/>
        </w:numPr>
      </w:pPr>
      <w:r>
        <w:rPr>
          <w:rFonts w:ascii="宋体" w:hAnsi="宋体" w:eastAsia="宋体"/>
          <w:b/>
          <w:sz w:val="21"/>
        </w:rPr>
        <w:t>具备严密保障的秒级原子反向回滚（Guaranteed Atomic Rollback）</w:t>
      </w:r>
      <w:r>
        <w:rPr>
          <w:rFonts w:ascii="宋体" w:hAnsi="宋体" w:eastAsia="宋体"/>
          <w:sz w:val="21"/>
        </w:rPr>
        <w:t>：</w:t>
      </w:r>
    </w:p>
    <w:p>
      <w:pPr>
        <w:spacing w:after="120" w:line="276" w:lineRule="auto"/>
      </w:pPr>
      <w:r>
        <w:rPr>
          <w:rFonts w:ascii="宋体" w:hAnsi="宋体" w:eastAsia="宋体"/>
          <w:sz w:val="21"/>
        </w:rPr>
        <w:t xml:space="preserve">在自愈动作执行前通过底层状态快照与反向补偿操作链进行前置对偶构建。一旦沙箱验证过程中监测到健康度越过低限阈值 </w:t>
      </w:r>
      <m:oMath>
        <m:sSub>
          <m:e>
            <m:r>
              <m:rPr>
                <m:sty m:val="p"/>
              </m:rPr>
              <w:rPr>
                <w:rFonts w:ascii="Cambria Math" w:hAnsi="Cambria Math" w:cs="Cambria Math" w:eastAsia="Cambria Math"/>
              </w:rPr>
              <m:t>τ</m:t>
            </m:r>
          </m:e>
          <m:sub>
            <m:r>
              <m:rPr>
                <m:sty m:val="p"/>
              </m:rPr>
              <w:rPr>
                <w:rFonts w:ascii="Cambria Math" w:hAnsi="Cambria Math" w:cs="Cambria Math" w:eastAsia="Cambria Math"/>
              </w:rPr>
              <m:t>r</m:t>
            </m:r>
            <m:r>
              <m:rPr>
                <m:sty m:val="p"/>
              </m:rPr>
              <w:rPr>
                <w:rFonts w:ascii="Cambria Math" w:hAnsi="Cambria Math" w:cs="Cambria Math" w:eastAsia="Cambria Math"/>
              </w:rPr>
              <m:t>o</m:t>
            </m:r>
            <m:r>
              <m:rPr>
                <m:sty m:val="p"/>
              </m:rPr>
              <w:rPr>
                <w:rFonts w:ascii="Cambria Math" w:hAnsi="Cambria Math" w:cs="Cambria Math" w:eastAsia="Cambria Math"/>
              </w:rPr>
              <m:t>l</m:t>
            </m:r>
            <m:r>
              <m:rPr>
                <m:sty m:val="p"/>
              </m:rPr>
              <w:rPr>
                <w:rFonts w:ascii="Cambria Math" w:hAnsi="Cambria Math" w:cs="Cambria Math" w:eastAsia="Cambria Math"/>
              </w:rPr>
              <m:t>l</m:t>
            </m:r>
            <m:r>
              <m:rPr>
                <m:sty m:val="p"/>
              </m:rPr>
              <w:rPr>
                <w:rFonts w:ascii="Cambria Math" w:hAnsi="Cambria Math" w:cs="Cambria Math" w:eastAsia="Cambria Math"/>
              </w:rPr>
              <m:t>b</m:t>
            </m:r>
            <m:r>
              <m:rPr>
                <m:sty m:val="p"/>
              </m:rPr>
              <w:rPr>
                <w:rFonts w:ascii="Cambria Math" w:hAnsi="Cambria Math" w:cs="Cambria Math" w:eastAsia="Cambria Math"/>
              </w:rPr>
              <m:t>a</m:t>
            </m:r>
            <m:r>
              <m:rPr>
                <m:sty m:val="p"/>
              </m:rPr>
              <w:rPr>
                <w:rFonts w:ascii="Cambria Math" w:hAnsi="Cambria Math" w:cs="Cambria Math" w:eastAsia="Cambria Math"/>
              </w:rPr>
              <m:t>c</m:t>
            </m:r>
            <m:r>
              <m:rPr>
                <m:sty m:val="p"/>
              </m:rPr>
              <w:rPr>
                <w:rFonts w:ascii="Cambria Math" w:hAnsi="Cambria Math" w:cs="Cambria Math" w:eastAsia="Cambria Math"/>
              </w:rPr>
              <m:t>k</m:t>
            </m:r>
          </m:sub>
        </m:sSub>
      </m:oMath>
      <w:r>
        <w:rPr>
          <w:rFonts w:ascii="宋体" w:hAnsi="宋体" w:eastAsia="宋体"/>
          <w:sz w:val="21"/>
        </w:rPr>
        <w:t>，系统瞬时切断引流并以事务化方式反向恢复系统原始状态，保证生产微服务集群在最坏情况下的稳定兜底。</w:t>
      </w:r>
    </w:p>
    <w:p>
      <w:pPr>
        <w:spacing w:after="160" w:before="160"/>
      </w:pPr>
      <w:r>
        <w:rPr>
          <w:rFonts w:ascii="宋体" w:hAnsi="宋体" w:eastAsia="宋体"/>
          <w:color w:val="AAAAAA"/>
          <w:sz w:val="16"/>
        </w:rPr>
        <w:t>────────────────────────────────</w:t>
      </w:r>
    </w:p>
    <w:p>
      <w:pPr>
        <w:pStyle w:val="Heading2"/>
      </w:pPr>
      <w:r>
        <w:rPr>
          <w:rFonts w:ascii="黑体" w:hAnsi="黑体" w:eastAsia="黑体"/>
        </w:rPr>
        <w:t>五、本发明的技术关键点和欲保护点是什么？</w:t>
      </w:r>
    </w:p>
    <w:p>
      <w:pPr>
        <w:spacing w:after="120" w:line="276" w:lineRule="auto"/>
      </w:pPr>
      <w:r>
        <w:rPr>
          <w:rFonts w:ascii="宋体" w:hAnsi="宋体" w:eastAsia="宋体"/>
          <w:sz w:val="21"/>
        </w:rPr>
        <w:t>本发明的核心技术关键点与欲保护方案如下：</w:t>
      </w:r>
    </w:p>
    <w:p>
      <w:pPr>
        <w:pStyle w:val="ListNumber"/>
        <w:spacing w:after="60"/>
        <w:numPr>
          <w:ilvl w:val="0"/>
          <w:numId w:val="16"/>
        </w:numPr>
      </w:pPr>
      <w:r>
        <w:rPr>
          <w:rFonts w:ascii="宋体" w:hAnsi="宋体" w:eastAsia="宋体"/>
          <w:b/>
          <w:sz w:val="21"/>
        </w:rPr>
        <w:t>一种基于双智能体协同与金丝雀沙箱验证的云原生微服务故障自愈方法</w:t>
      </w:r>
      <w:r>
        <w:rPr>
          <w:rFonts w:ascii="宋体" w:hAnsi="宋体" w:eastAsia="宋体"/>
          <w:sz w:val="21"/>
        </w:rPr>
        <w:t>，其关键保护点包括：</w:t>
      </w:r>
    </w:p>
    <w:p>
      <w:pPr>
        <w:pStyle w:val="ListBullet"/>
        <w:spacing w:after="60"/>
      </w:pPr>
      <w:r>
        <w:rPr>
          <w:rFonts w:ascii="宋体" w:hAnsi="宋体" w:eastAsia="宋体"/>
          <w:sz w:val="21"/>
        </w:rPr>
        <w:t>响应微服务异常指标，对齐时序、调用链 Trace 及日志构建结构化故障上下文快照；</w:t>
      </w:r>
    </w:p>
    <w:p>
      <w:pPr>
        <w:pStyle w:val="ListBullet"/>
        <w:spacing w:after="60"/>
      </w:pPr>
      <w:r>
        <w:rPr>
          <w:rFonts w:ascii="宋体" w:hAnsi="宋体" w:eastAsia="宋体"/>
          <w:sz w:val="21"/>
        </w:rPr>
        <w:t>由自愈规划智能体匹配运维知识图谱生成由原子修复操作构成的有向无环图（DAG）；</w:t>
      </w:r>
    </w:p>
    <w:p>
      <w:pPr>
        <w:pStyle w:val="ListBullet"/>
        <w:spacing w:after="60"/>
      </w:pPr>
      <w:r>
        <w:rPr>
          <w:rFonts w:ascii="宋体" w:hAnsi="宋体" w:eastAsia="宋体"/>
          <w:sz w:val="21"/>
        </w:rPr>
        <w:t xml:space="preserve">由安全风控智能体结合微服务拓扑图计算操作动作的爆炸半径评分 </w:t>
      </w:r>
      <m:oMath>
        <m:sSub>
          <m:e>
            <m:r>
              <m:rPr>
                <m:sty m:val="p"/>
              </m:rPr>
              <w:rPr>
                <w:rFonts w:ascii="Cambria Math" w:hAnsi="Cambria Math" w:cs="Cambria Math" w:eastAsia="Cambria Math"/>
              </w:rPr>
              <m:t>B</m:t>
            </m:r>
          </m:e>
          <m:sub>
            <m:r>
              <m:rPr>
                <m:sty m:val="p"/>
              </m:rPr>
              <w:rPr>
                <w:rFonts w:ascii="Cambria Math" w:hAnsi="Cambria Math" w:cs="Cambria Math" w:eastAsia="Cambria Math"/>
              </w:rPr>
              <m:t>k</m:t>
            </m:r>
          </m:sub>
        </m:sSub>
      </m:oMath>
      <w:r>
        <w:rPr>
          <w:rFonts w:ascii="宋体" w:hAnsi="宋体" w:eastAsia="宋体"/>
          <w:sz w:val="21"/>
        </w:rPr>
        <w:t>，并在违规时阻断下发且生成反思提示词回传重规划；</w:t>
      </w:r>
    </w:p>
    <w:p>
      <w:pPr>
        <w:pStyle w:val="ListBullet"/>
        <w:spacing w:after="60"/>
      </w:pPr>
      <w:r>
        <w:rPr>
          <w:rFonts w:ascii="宋体" w:hAnsi="宋体" w:eastAsia="宋体"/>
          <w:sz w:val="21"/>
        </w:rPr>
        <w:t>在通过安全审核后，利用 Kubernetes API 动态拉起临时隔离沙箱 Pod，并通过 Service Mesh 边车导入微量探针流量进行前置试运行；</w:t>
      </w:r>
    </w:p>
    <w:p>
      <w:pPr>
        <w:pStyle w:val="ListBullet"/>
        <w:spacing w:after="60"/>
      </w:pPr>
      <w:r>
        <w:rPr>
          <w:rFonts w:ascii="宋体" w:hAnsi="宋体" w:eastAsia="宋体"/>
          <w:sz w:val="21"/>
        </w:rPr>
        <w:t xml:space="preserve">基于平滑后的金丝雀健康度评分 </w:t>
      </w:r>
      <m:oMath>
        <m:sSub>
          <m:e>
            <m:r>
              <m:rPr>
                <m:sty m:val="p"/>
              </m:rPr>
              <w:rPr>
                <w:rFonts w:ascii="Cambria Math" w:hAnsi="Cambria Math" w:cs="Cambria Math" w:eastAsia="Cambria Math"/>
              </w:rPr>
              <m:t>S</m:t>
            </m:r>
          </m:e>
          <m:sub>
            <m:r>
              <m:rPr>
                <m:sty m:val="p"/>
              </m:rPr>
              <w:rPr>
                <w:rFonts w:ascii="Cambria Math" w:hAnsi="Cambria Math" w:cs="Cambria Math" w:eastAsia="Cambria Math"/>
              </w:rPr>
              <m:t>t</m:t>
            </m:r>
          </m:sub>
        </m:sSub>
      </m:oMath>
      <w:r>
        <w:rPr>
          <w:rFonts w:ascii="宋体" w:hAnsi="宋体" w:eastAsia="宋体"/>
          <w:sz w:val="21"/>
        </w:rPr>
        <w:t xml:space="preserve"> 动态调谐流量放行比例 </w:t>
      </w:r>
      <m:oMath>
        <m:sSub>
          <m:e>
            <m:r>
              <m:rPr>
                <m:sty m:val="p"/>
              </m:rPr>
              <w:rPr>
                <w:rFonts w:ascii="Cambria Math" w:hAnsi="Cambria Math" w:cs="Cambria Math" w:eastAsia="Cambria Math"/>
              </w:rPr>
              <m:t>θ</m:t>
            </m:r>
          </m:e>
          <m:sub>
            <m:r>
              <m:rPr>
                <m:sty m:val="p"/>
              </m:rPr>
              <w:rPr>
                <w:rFonts w:ascii="Cambria Math" w:hAnsi="Cambria Math" w:cs="Cambria Math" w:eastAsia="Cambria Math"/>
              </w:rPr>
              <m:t>m</m:t>
            </m:r>
          </m:sub>
        </m:sSub>
      </m:oMath>
      <w:r>
        <w:rPr>
          <w:rFonts w:ascii="宋体" w:hAnsi="宋体" w:eastAsia="宋体"/>
          <w:sz w:val="21"/>
        </w:rPr>
        <w:t>，直至 100% 全量恢复；并在健康度劣化时触发预置的反向补偿操作链实现原子回滚。</w:t>
      </w:r>
    </w:p>
    <w:p>
      <w:pPr>
        <w:pStyle w:val="ListNumber"/>
        <w:spacing w:after="60"/>
        <w:numPr>
          <w:ilvl w:val="0"/>
          <w:numId w:val="16"/>
        </w:numPr>
      </w:pPr>
      <w:r>
        <w:rPr>
          <w:rFonts w:ascii="宋体" w:hAnsi="宋体" w:eastAsia="宋体"/>
          <w:b/>
          <w:sz w:val="21"/>
        </w:rPr>
        <w:t>双智能体对抗博弈与操作爆炸半径量化控制机制</w:t>
      </w:r>
      <w:r>
        <w:rPr>
          <w:rFonts w:ascii="宋体" w:hAnsi="宋体" w:eastAsia="宋体"/>
          <w:sz w:val="21"/>
        </w:rPr>
        <w:t>：</w:t>
      </w:r>
    </w:p>
    <w:p>
      <w:pPr>
        <w:pStyle w:val="ListBullet"/>
        <w:spacing w:after="60"/>
      </w:pPr>
      <w:r>
        <w:rPr>
          <w:rFonts w:ascii="宋体" w:hAnsi="宋体" w:eastAsia="宋体"/>
          <w:sz w:val="21"/>
        </w:rPr>
        <w:t xml:space="preserve">采用加权计算模型，综合扇出传播深度 </w:t>
      </w:r>
      <m:oMath>
        <m:sSubSup>
          <m:e>
            <m:r>
              <m:rPr>
                <m:sty m:val="p"/>
              </m:rPr>
              <w:rPr>
                <w:rFonts w:ascii="Cambria Math" w:hAnsi="Cambria Math" w:cs="Cambria Math" w:eastAsia="Cambria Math"/>
              </w:rPr>
              <m:t>F</m:t>
            </m:r>
          </m:e>
          <m:sub>
            <m:r>
              <m:rPr>
                <m:sty m:val="p"/>
              </m:rPr>
              <w:rPr>
                <w:rFonts w:ascii="Cambria Math" w:hAnsi="Cambria Math" w:cs="Cambria Math" w:eastAsia="Cambria Math"/>
              </w:rPr>
              <m:t>k</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oMath>
      <w:r>
        <w:rPr>
          <w:rFonts w:ascii="宋体" w:hAnsi="宋体" w:eastAsia="宋体"/>
          <w:sz w:val="21"/>
        </w:rPr>
        <w:t xml:space="preserve">、资源破坏敏感度 </w:t>
      </w:r>
      <m:oMath>
        <m:sSubSup>
          <m:e>
            <m:r>
              <m:rPr>
                <m:sty m:val="p"/>
              </m:rPr>
              <w:rPr>
                <w:rFonts w:ascii="Cambria Math" w:hAnsi="Cambria Math" w:cs="Cambria Math" w:eastAsia="Cambria Math"/>
              </w:rPr>
              <m:t>W</m:t>
            </m:r>
          </m:e>
          <m:sub>
            <m:r>
              <m:rPr>
                <m:sty m:val="p"/>
              </m:rPr>
              <w:rPr>
                <w:rFonts w:ascii="Cambria Math" w:hAnsi="Cambria Math" w:cs="Cambria Math" w:eastAsia="Cambria Math"/>
              </w:rPr>
              <m:t>k</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oMath>
      <w:r>
        <w:rPr>
          <w:rFonts w:ascii="宋体" w:hAnsi="宋体" w:eastAsia="宋体"/>
          <w:sz w:val="21"/>
        </w:rPr>
        <w:t xml:space="preserve"> 与下游节点重要性 </w:t>
      </w:r>
      <m:oMath>
        <m:sSubSup>
          <m:e>
            <m:r>
              <m:rPr>
                <m:sty m:val="p"/>
              </m:rPr>
              <w:rPr>
                <w:rFonts w:ascii="Cambria Math" w:hAnsi="Cambria Math" w:cs="Cambria Math" w:eastAsia="Cambria Math"/>
              </w:rPr>
              <m:t>I</m:t>
            </m:r>
          </m:e>
          <m:sub>
            <m:r>
              <m:rPr>
                <m:sty m:val="p"/>
              </m:rPr>
              <w:rPr>
                <w:rFonts w:ascii="Cambria Math" w:hAnsi="Cambria Math" w:cs="Cambria Math" w:eastAsia="Cambria Math"/>
              </w:rPr>
              <m:t>k</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oMath>
      <w:r>
        <w:rPr>
          <w:rFonts w:ascii="宋体" w:hAnsi="宋体" w:eastAsia="宋体"/>
          <w:sz w:val="21"/>
        </w:rPr>
        <w:t xml:space="preserve"> 导出爆炸半径评分；</w:t>
      </w:r>
    </w:p>
    <w:p>
      <w:pPr>
        <w:pStyle w:val="ListBullet"/>
        <w:spacing w:after="60"/>
      </w:pPr>
      <w:r>
        <w:rPr>
          <w:rFonts w:ascii="宋体" w:hAnsi="宋体" w:eastAsia="宋体"/>
          <w:sz w:val="21"/>
        </w:rPr>
        <w:t>将高危操作限制在沙箱隔离环境内，通过规划与风控智能体的多轮博弈对抗消除大模型推理幻觉。</w:t>
      </w:r>
    </w:p>
    <w:p>
      <w:pPr>
        <w:pStyle w:val="ListNumber"/>
        <w:spacing w:after="60"/>
        <w:numPr>
          <w:ilvl w:val="0"/>
          <w:numId w:val="16"/>
        </w:numPr>
      </w:pPr>
      <w:r>
        <w:rPr>
          <w:rFonts w:ascii="宋体" w:hAnsi="宋体" w:eastAsia="宋体"/>
          <w:b/>
          <w:sz w:val="21"/>
        </w:rPr>
        <w:t>基于容器沙箱与服务网格动态引流的轻量级金丝雀闭环验证系统</w:t>
      </w:r>
      <w:r>
        <w:rPr>
          <w:rFonts w:ascii="宋体" w:hAnsi="宋体" w:eastAsia="宋体"/>
          <w:sz w:val="21"/>
        </w:rPr>
        <w:t>：</w:t>
      </w:r>
    </w:p>
    <w:p>
      <w:pPr>
        <w:pStyle w:val="ListBullet"/>
        <w:spacing w:after="60"/>
      </w:pPr>
      <w:r>
        <w:rPr>
          <w:rFonts w:ascii="宋体" w:hAnsi="宋体" w:eastAsia="宋体"/>
          <w:sz w:val="21"/>
        </w:rPr>
        <w:t>结合 Kubernetes 动态资源编排与 Envoy 权重路由规则，实现零停机、低开销的试错环境注入；</w:t>
      </w:r>
    </w:p>
    <w:p>
      <w:pPr>
        <w:pStyle w:val="ListBullet"/>
        <w:spacing w:after="60"/>
      </w:pPr>
      <w:r>
        <w:rPr>
          <w:rFonts w:ascii="宋体" w:hAnsi="宋体" w:eastAsia="宋体"/>
          <w:sz w:val="21"/>
        </w:rPr>
        <w:t xml:space="preserve">结合指数移动平均（EMA）计算综合健康度 </w:t>
      </w:r>
      <m:oMath>
        <m:sSub>
          <m:e>
            <m:r>
              <m:rPr>
                <m:sty m:val="p"/>
              </m:rPr>
              <w:rPr>
                <w:rFonts w:ascii="Cambria Math" w:hAnsi="Cambria Math" w:cs="Cambria Math" w:eastAsia="Cambria Math"/>
              </w:rPr>
              <m:t>S</m:t>
            </m:r>
          </m:e>
          <m:sub>
            <m:r>
              <m:rPr>
                <m:sty m:val="p"/>
              </m:rPr>
              <w:rPr>
                <w:rFonts w:ascii="Cambria Math" w:hAnsi="Cambria Math" w:cs="Cambria Math" w:eastAsia="Cambria Math"/>
              </w:rPr>
              <m:t>t</m:t>
            </m:r>
          </m:sub>
        </m:sSub>
      </m:oMath>
      <w:r>
        <w:rPr>
          <w:rFonts w:ascii="宋体" w:hAnsi="宋体" w:eastAsia="宋体"/>
          <w:sz w:val="21"/>
        </w:rPr>
        <w:t>，并以式 (4) 自适应动态放行，以式 (5) 触发反向补偿回滚的控制逻辑闭环。</w:t>
      </w:r>
    </w:p>
    <w:p>
      <w:pPr>
        <w:pStyle w:val="ListNumber"/>
        <w:spacing w:after="60"/>
        <w:numPr>
          <w:ilvl w:val="0"/>
          <w:numId w:val="16"/>
        </w:numPr>
      </w:pPr>
      <w:r>
        <w:rPr>
          <w:rFonts w:ascii="宋体" w:hAnsi="宋体" w:eastAsia="宋体"/>
          <w:b/>
          <w:sz w:val="21"/>
        </w:rPr>
        <w:t>一种实现上述故障自愈方法的系统、计算设备及计算机可读存储介质</w:t>
      </w:r>
      <w:r>
        <w:rPr>
          <w:rFonts w:ascii="宋体" w:hAnsi="宋体" w:eastAsia="宋体"/>
          <w:sz w:val="21"/>
        </w:rPr>
        <w:t>。</w:t>
      </w:r>
    </w:p>
    <w:p>
      <w:pPr>
        <w:spacing w:after="160" w:before="160"/>
      </w:pPr>
      <w:r>
        <w:rPr>
          <w:rFonts w:ascii="宋体" w:hAnsi="宋体" w:eastAsia="宋体"/>
          <w:color w:val="AAAAAA"/>
          <w:sz w:val="16"/>
        </w:rPr>
        <w:t>────────────────────────────────</w:t>
      </w:r>
    </w:p>
    <w:p>
      <w:pPr>
        <w:pStyle w:val="Heading2"/>
      </w:pPr>
      <w:r>
        <w:rPr>
          <w:rFonts w:ascii="黑体" w:hAnsi="黑体" w:eastAsia="黑体"/>
        </w:rPr>
        <w:t>六、其它</w:t>
      </w:r>
    </w:p>
    <w:p>
      <w:pPr>
        <w:pStyle w:val="Heading3"/>
      </w:pPr>
      <w:r>
        <w:rPr>
          <w:rFonts w:ascii="宋体" w:hAnsi="宋体" w:eastAsia="宋体"/>
        </w:rPr>
        <w:t>6.1 实施例</w:t>
      </w:r>
    </w:p>
    <w:p>
      <w:pPr>
        <w:spacing w:after="120" w:line="276" w:lineRule="auto"/>
      </w:pPr>
      <w:r>
        <w:rPr>
          <w:rFonts w:ascii="宋体" w:hAnsi="宋体" w:eastAsia="宋体"/>
          <w:sz w:val="21"/>
        </w:rPr>
        <w:t>为了更清楚地说明本发明的具体实施细节与执行过程，以下结合微服务集群中的典型生产故障场景给出具体实施例。</w:t>
      </w:r>
    </w:p>
    <w:p>
      <w:pPr>
        <w:pStyle w:val="Heading4"/>
      </w:pPr>
      <w:r>
        <w:rPr>
          <w:rFonts w:ascii="宋体" w:hAnsi="宋体" w:eastAsia="宋体"/>
        </w:rPr>
        <w:t>实施例 1：主路径实施例 —— 订单结算微服务内存泄漏与线程挂起自愈</w:t>
      </w:r>
    </w:p>
    <w:p>
      <w:pPr>
        <w:pStyle w:val="ListBullet"/>
        <w:spacing w:after="60"/>
      </w:pPr>
      <w:r>
        <w:rPr>
          <w:rFonts w:ascii="宋体" w:hAnsi="宋体" w:eastAsia="宋体"/>
          <w:b/>
          <w:sz w:val="21"/>
        </w:rPr>
        <w:t>故障场景与初始状态</w:t>
      </w:r>
      <w:r>
        <w:rPr>
          <w:rFonts w:ascii="宋体" w:hAnsi="宋体" w:eastAsia="宋体"/>
          <w:sz w:val="21"/>
        </w:rPr>
        <w:t>：</w:t>
      </w:r>
    </w:p>
    <w:p>
      <w:pPr>
        <w:spacing w:after="120" w:line="276" w:lineRule="auto"/>
      </w:pPr>
      <w:r>
        <w:rPr>
          <w:rFonts w:ascii="宋体" w:hAnsi="宋体" w:eastAsia="宋体"/>
          <w:sz w:val="21"/>
        </w:rPr>
        <w:t xml:space="preserve">电商大促期间，生产环境中的 </w:t>
      </w:r>
      <w:r>
        <w:rPr>
          <w:rFonts w:ascii="Consolas" w:hAnsi="Consolas" w:eastAsia="Consolas"/>
          <w:color w:val="333333"/>
          <w:sz w:val="18"/>
        </w:rPr>
        <w:t>Order-Settlement-Service</w:t>
      </w:r>
      <w:r>
        <w:rPr>
          <w:rFonts w:ascii="宋体" w:hAnsi="宋体" w:eastAsia="宋体"/>
          <w:sz w:val="21"/>
        </w:rPr>
        <w:t>（订单结算微服务，包含 10 个 Pod 实例）由于三方对账 SDK 存在对象池未释放隐患，出现局部内存泄漏。监控探针检测到其中 3 个 Pod 的 JVM 老年代使用率持续高于 92%，垃圾回收（Full GC）停顿时间长达 4.5 秒，导致结算接口 P99 响应耗时由 120ms 飙升至 3800ms，触发持续 5xx 告警。</w:t>
      </w:r>
    </w:p>
    <w:p>
      <w:pPr>
        <w:pStyle w:val="ListBullet"/>
        <w:spacing w:after="60"/>
      </w:pPr>
      <w:r>
        <w:rPr>
          <w:rFonts w:ascii="宋体" w:hAnsi="宋体" w:eastAsia="宋体"/>
          <w:b/>
          <w:sz w:val="21"/>
        </w:rPr>
        <w:t>执行主体交互与决策流</w:t>
      </w:r>
      <w:r>
        <w:rPr>
          <w:rFonts w:ascii="宋体" w:hAnsi="宋体" w:eastAsia="宋体"/>
          <w:sz w:val="21"/>
        </w:rPr>
        <w:t>：</w:t>
      </w:r>
    </w:p>
    <w:p>
      <w:pPr>
        <w:pStyle w:val="ListNumber"/>
        <w:spacing w:after="60"/>
        <w:numPr>
          <w:ilvl w:val="0"/>
          <w:numId w:val="17"/>
        </w:numPr>
      </w:pPr>
      <w:r>
        <w:rPr>
          <w:rFonts w:ascii="宋体" w:hAnsi="宋体" w:eastAsia="宋体"/>
          <w:b/>
          <w:sz w:val="21"/>
        </w:rPr>
        <w:t>快照生成</w:t>
      </w:r>
      <w:r>
        <w:rPr>
          <w:rFonts w:ascii="宋体" w:hAnsi="宋体" w:eastAsia="宋体"/>
          <w:sz w:val="21"/>
        </w:rPr>
        <w:t>：事件生成器聚合指标与链路 Trace，生成包含故障 Pod IP、JVM 内存曲线与报错日志的故障快照，投递给自愈规划智能体。</w:t>
      </w:r>
    </w:p>
    <w:p>
      <w:pPr>
        <w:pStyle w:val="ListNumber"/>
        <w:spacing w:after="60"/>
        <w:numPr>
          <w:ilvl w:val="0"/>
          <w:numId w:val="17"/>
        </w:numPr>
      </w:pPr>
      <w:r>
        <w:rPr>
          <w:rFonts w:ascii="宋体" w:hAnsi="宋体" w:eastAsia="宋体"/>
          <w:b/>
          <w:sz w:val="21"/>
        </w:rPr>
        <w:t>智能体对抗推演</w:t>
      </w:r>
      <w:r>
        <w:rPr>
          <w:rFonts w:ascii="宋体" w:hAnsi="宋体" w:eastAsia="宋体"/>
          <w:sz w:val="21"/>
        </w:rPr>
        <w:t>：</w:t>
      </w:r>
    </w:p>
    <w:p>
      <w:pPr>
        <w:pStyle w:val="ListBullet"/>
        <w:spacing w:after="60"/>
      </w:pPr>
      <w:r>
        <w:rPr>
          <w:rFonts w:ascii="宋体" w:hAnsi="宋体" w:eastAsia="宋体"/>
          <w:sz w:val="21"/>
        </w:rPr>
        <w:t>规划智能体推导出自愈 DAG：</w:t>
      </w:r>
      <w:r>
        <w:rPr>
          <w:rFonts w:ascii="宋体" w:hAnsi="宋体" w:eastAsia="宋体"/>
          <w:color w:val="333333"/>
          <w:sz w:val="21"/>
        </w:rPr>
        <w:t>动作 1: 在线导出轻量级 jmap 堆直方图</w:t>
      </w:r>
      <w:r>
        <w:rPr>
          <w:rFonts w:ascii="宋体" w:hAnsi="宋体" w:eastAsia="宋体"/>
          <w:sz w:val="21"/>
        </w:rPr>
        <w:t xml:space="preserve"> </w:t>
      </w:r>
      <m:oMath>
        <m:r>
          <m:rPr>
            <m:sty m:val="p"/>
          </m:rPr>
          <w:rPr>
            <w:rFonts w:ascii="Cambria Math" w:hAnsi="Cambria Math" w:cs="Cambria Math" w:eastAsia="Cambria Math"/>
          </w:rPr>
          <m:t>→</m:t>
        </m:r>
      </m:oMath>
      <w:r>
        <w:rPr>
          <w:rFonts w:ascii="宋体" w:hAnsi="宋体" w:eastAsia="宋体"/>
          <w:sz w:val="21"/>
        </w:rPr>
        <w:t xml:space="preserve"> </w:t>
      </w:r>
      <w:r>
        <w:rPr>
          <w:rFonts w:ascii="宋体" w:hAnsi="宋体" w:eastAsia="宋体"/>
          <w:color w:val="333333"/>
          <w:sz w:val="21"/>
        </w:rPr>
        <w:t>动作 2: 动态临时水平扩容 3 个纯净备用 Pod 分担并发压力</w:t>
      </w:r>
      <w:r>
        <w:rPr>
          <w:rFonts w:ascii="宋体" w:hAnsi="宋体" w:eastAsia="宋体"/>
          <w:sz w:val="21"/>
        </w:rPr>
        <w:t xml:space="preserve"> </w:t>
      </w:r>
      <m:oMath>
        <m:r>
          <m:rPr>
            <m:sty m:val="p"/>
          </m:rPr>
          <w:rPr>
            <w:rFonts w:ascii="Cambria Math" w:hAnsi="Cambria Math" w:cs="Cambria Math" w:eastAsia="Cambria Math"/>
          </w:rPr>
          <m:t>→</m:t>
        </m:r>
      </m:oMath>
      <w:r>
        <w:rPr>
          <w:rFonts w:ascii="宋体" w:hAnsi="宋体" w:eastAsia="宋体"/>
          <w:sz w:val="21"/>
        </w:rPr>
        <w:t xml:space="preserve"> </w:t>
      </w:r>
      <w:r>
        <w:rPr>
          <w:rFonts w:ascii="宋体" w:hAnsi="宋体" w:eastAsia="宋体"/>
          <w:color w:val="333333"/>
          <w:sz w:val="21"/>
        </w:rPr>
        <w:t>动作 3: 将故障 Pod 的 JVM 堆内存上限参数 -Xmx 由 4G 动态调增至 6G 并重启</w:t>
      </w:r>
      <w:r>
        <w:rPr>
          <w:rFonts w:ascii="宋体" w:hAnsi="宋体" w:eastAsia="宋体"/>
          <w:sz w:val="21"/>
        </w:rPr>
        <w:t>。</w:t>
      </w:r>
    </w:p>
    <w:p>
      <w:pPr>
        <w:pStyle w:val="ListBullet"/>
        <w:spacing w:after="60"/>
      </w:pPr>
      <w:r>
        <w:rPr>
          <w:rFonts w:ascii="宋体" w:hAnsi="宋体" w:eastAsia="宋体"/>
          <w:sz w:val="21"/>
        </w:rPr>
        <w:t xml:space="preserve">风控智能体基于服务调用拓扑计算爆炸半径：下游仅依赖只读库存查询，无高危数据修改，计算得 </w:t>
      </w:r>
      <m:oMath>
        <m:sSub>
          <m:e>
            <m:r>
              <m:rPr>
                <m:sty m:val="p"/>
              </m:rPr>
              <w:rPr>
                <w:rFonts w:ascii="Cambria Math" w:hAnsi="Cambria Math" w:cs="Cambria Math" w:eastAsia="Cambria Math"/>
              </w:rPr>
              <m:t>B</m:t>
            </m:r>
          </m:e>
          <m:sub>
            <m:r>
              <m:rPr>
                <m:sty m:val="p"/>
              </m:rPr>
              <w:rPr>
                <w:rFonts w:ascii="Cambria Math" w:hAnsi="Cambria Math" w:cs="Cambria Math" w:eastAsia="Cambria Math"/>
              </w:rPr>
              <m:t>k</m:t>
            </m:r>
          </m:sub>
        </m:sSub>
        <m:r>
          <m:rPr>
            <m:sty m:val="p"/>
          </m:rPr>
          <w:rPr>
            <w:rFonts w:ascii="Cambria Math" w:hAnsi="Cambria Math" w:cs="Cambria Math" w:eastAsia="Cambria Math"/>
          </w:rPr>
          <m:t>=</m:t>
        </m:r>
        <m:r>
          <m:rPr>
            <m:sty m:val="p"/>
          </m:rPr>
          <w:rPr>
            <w:rFonts w:ascii="Cambria Math" w:hAnsi="Cambria Math" w:cs="Cambria Math" w:eastAsia="Cambria Math"/>
          </w:rPr>
          <m:t>0.40</m:t>
        </m:r>
        <m:r>
          <m:rPr>
            <m:sty m:val="p"/>
          </m:rPr>
          <w:rPr>
            <w:rFonts w:ascii="Cambria Math" w:hAnsi="Cambria Math" w:cs="Cambria Math" w:eastAsia="Cambria Math"/>
          </w:rPr>
          <m:t>≤</m:t>
        </m:r>
        <m:r>
          <m:rPr>
            <m:sty m:val="p"/>
          </m:rPr>
          <w:rPr>
            <w:rFonts w:ascii="Cambria Math" w:hAnsi="Cambria Math" w:cs="Cambria Math" w:eastAsia="Cambria Math"/>
          </w:rPr>
          <m:t>0.65</m:t>
        </m:r>
      </m:oMath>
      <w:r>
        <w:rPr>
          <w:rFonts w:ascii="宋体" w:hAnsi="宋体" w:eastAsia="宋体"/>
          <w:sz w:val="21"/>
        </w:rPr>
        <w:t>，且未涉及删除卷等违规指令，审核放行。</w:t>
      </w:r>
    </w:p>
    <w:p>
      <w:pPr>
        <w:pStyle w:val="ListNumber"/>
        <w:spacing w:after="60"/>
        <w:numPr>
          <w:ilvl w:val="0"/>
          <w:numId w:val="17"/>
        </w:numPr>
      </w:pPr>
      <w:r>
        <w:rPr>
          <w:rFonts w:ascii="宋体" w:hAnsi="宋体" w:eastAsia="宋体"/>
          <w:b/>
          <w:sz w:val="21"/>
        </w:rPr>
        <w:t>沙箱金丝雀试跑</w:t>
      </w:r>
      <w:r>
        <w:rPr>
          <w:rFonts w:ascii="宋体" w:hAnsi="宋体" w:eastAsia="宋体"/>
          <w:sz w:val="21"/>
        </w:rPr>
        <w:t>：</w:t>
      </w:r>
    </w:p>
    <w:p>
      <w:pPr>
        <w:pStyle w:val="ListBullet"/>
        <w:spacing w:after="60"/>
      </w:pPr>
      <w:r>
        <w:rPr>
          <w:rFonts w:ascii="宋体" w:hAnsi="宋体" w:eastAsia="宋体"/>
          <w:sz w:val="21"/>
        </w:rPr>
        <w:t>快照管理器备份当前 Deployment 的 YAML 清单；</w:t>
      </w:r>
    </w:p>
    <w:p>
      <w:pPr>
        <w:pStyle w:val="ListBullet"/>
        <w:spacing w:after="60"/>
      </w:pPr>
      <w:r>
        <w:rPr>
          <w:rFonts w:ascii="宋体" w:hAnsi="宋体" w:eastAsia="宋体"/>
          <w:sz w:val="21"/>
        </w:rPr>
        <w:t xml:space="preserve">K8s 控制器动态克隆拉起一个配置为 </w:t>
      </w:r>
      <w:r>
        <w:rPr>
          <w:rFonts w:ascii="宋体" w:hAnsi="宋体" w:eastAsia="宋体"/>
          <w:color w:val="333333"/>
          <w:sz w:val="21"/>
        </w:rPr>
        <w:t>-Xmx 6G</w:t>
      </w:r>
      <w:r>
        <w:rPr>
          <w:rFonts w:ascii="宋体" w:hAnsi="宋体" w:eastAsia="宋体"/>
          <w:sz w:val="21"/>
        </w:rPr>
        <w:t xml:space="preserve"> 的沙箱 Pod </w:t>
      </w:r>
      <w:r>
        <w:rPr>
          <w:rFonts w:ascii="宋体" w:hAnsi="宋体" w:eastAsia="宋体"/>
          <w:color w:val="333333"/>
          <w:sz w:val="21"/>
        </w:rPr>
        <w:t>Order-Settlement-Sandbox-1</w:t>
      </w:r>
      <w:r>
        <w:rPr>
          <w:rFonts w:ascii="宋体" w:hAnsi="宋体" w:eastAsia="宋体"/>
          <w:sz w:val="21"/>
        </w:rPr>
        <w:t>；</w:t>
      </w:r>
    </w:p>
    <w:p>
      <w:pPr>
        <w:pStyle w:val="ListBullet"/>
        <w:spacing w:after="60"/>
      </w:pPr>
      <w:r>
        <w:rPr>
          <w:rFonts w:ascii="宋体" w:hAnsi="宋体" w:eastAsia="宋体"/>
          <w:sz w:val="21"/>
        </w:rPr>
        <w:t>Service Mesh 将结算请求总流量的 2% 动态切入该沙箱 Pod。</w:t>
      </w:r>
    </w:p>
    <w:p>
      <w:pPr>
        <w:pStyle w:val="ListNumber"/>
        <w:spacing w:after="60"/>
        <w:numPr>
          <w:ilvl w:val="0"/>
          <w:numId w:val="17"/>
        </w:numPr>
      </w:pPr>
      <w:r>
        <w:rPr>
          <w:rFonts w:ascii="宋体" w:hAnsi="宋体" w:eastAsia="宋体"/>
          <w:b/>
          <w:sz w:val="21"/>
        </w:rPr>
        <w:t>闭环自适应放行</w:t>
      </w:r>
      <w:r>
        <w:rPr>
          <w:rFonts w:ascii="宋体" w:hAnsi="宋体" w:eastAsia="宋体"/>
          <w:sz w:val="21"/>
        </w:rPr>
        <w:t>：</w:t>
      </w:r>
    </w:p>
    <w:p>
      <w:pPr>
        <w:pStyle w:val="ListBullet"/>
        <w:spacing w:after="60"/>
      </w:pPr>
      <w:r>
        <w:rPr>
          <w:rFonts w:ascii="宋体" w:hAnsi="宋体" w:eastAsia="宋体"/>
          <w:sz w:val="21"/>
        </w:rPr>
        <w:t xml:space="preserve">连续 3 个采样周期内，沙箱 Pod 的 GC 耗时回落至 80ms，错误率为 0，计算得健康度评分 </w:t>
      </w:r>
      <m:oMath>
        <m:sSub>
          <m:e>
            <m:r>
              <m:rPr>
                <m:sty m:val="p"/>
              </m:rPr>
              <w:rPr>
                <w:rFonts w:ascii="Cambria Math" w:hAnsi="Cambria Math" w:cs="Cambria Math" w:eastAsia="Cambria Math"/>
              </w:rPr>
              <m:t>S</m:t>
            </m:r>
          </m:e>
          <m:sub>
            <m:r>
              <m:rPr>
                <m:sty m:val="p"/>
              </m:rPr>
              <w:rPr>
                <w:rFonts w:ascii="Cambria Math" w:hAnsi="Cambria Math" w:cs="Cambria Math" w:eastAsia="Cambria Math"/>
              </w:rPr>
              <m:t>t</m:t>
            </m:r>
          </m:sub>
        </m:sSub>
        <m:r>
          <m:rPr>
            <m:sty m:val="p"/>
          </m:rPr>
          <w:rPr>
            <w:rFonts w:ascii="Cambria Math" w:hAnsi="Cambria Math" w:cs="Cambria Math" w:eastAsia="Cambria Math"/>
          </w:rPr>
          <m:t>=</m:t>
        </m:r>
        <m:r>
          <m:rPr>
            <m:sty m:val="p"/>
          </m:rPr>
          <w:rPr>
            <w:rFonts w:ascii="Cambria Math" w:hAnsi="Cambria Math" w:cs="Cambria Math" w:eastAsia="Cambria Math"/>
          </w:rPr>
          <m:t>0.94</m:t>
        </m:r>
        <m:r>
          <m:rPr>
            <m:sty m:val="p"/>
          </m:rPr>
          <w:rPr>
            <w:rFonts w:ascii="Cambria Math" w:hAnsi="Cambria Math" w:cs="Cambria Math" w:eastAsia="Cambria Math"/>
          </w:rPr>
          <m:t>&gt;</m:t>
        </m:r>
        <m:sSub>
          <m:e>
            <m:r>
              <m:rPr>
                <m:sty m:val="p"/>
              </m:rPr>
              <w:rPr>
                <w:rFonts w:ascii="Cambria Math" w:hAnsi="Cambria Math" w:cs="Cambria Math" w:eastAsia="Cambria Math"/>
              </w:rPr>
              <m:t>τ</m:t>
            </m:r>
          </m:e>
          <m:sub>
            <m:r>
              <m:rPr>
                <m:sty m:val="p"/>
              </m:rPr>
              <w:rPr>
                <w:rFonts w:ascii="Cambria Math" w:hAnsi="Cambria Math" w:cs="Cambria Math" w:eastAsia="Cambria Math"/>
              </w:rPr>
              <m:t>p</m:t>
            </m:r>
            <m:r>
              <m:rPr>
                <m:sty m:val="p"/>
              </m:rPr>
              <w:rPr>
                <w:rFonts w:ascii="Cambria Math" w:hAnsi="Cambria Math" w:cs="Cambria Math" w:eastAsia="Cambria Math"/>
              </w:rPr>
              <m:t>a</m:t>
            </m:r>
            <m:r>
              <m:rPr>
                <m:sty m:val="p"/>
              </m:rPr>
              <w:rPr>
                <w:rFonts w:ascii="Cambria Math" w:hAnsi="Cambria Math" w:cs="Cambria Math" w:eastAsia="Cambria Math"/>
              </w:rPr>
              <m:t>s</m:t>
            </m:r>
            <m:r>
              <m:rPr>
                <m:sty m:val="p"/>
              </m:rPr>
              <w:rPr>
                <w:rFonts w:ascii="Cambria Math" w:hAnsi="Cambria Math" w:cs="Cambria Math" w:eastAsia="Cambria Math"/>
              </w:rPr>
              <m:t>s</m:t>
            </m:r>
          </m:sub>
        </m:sSub>
        <m:r>
          <m:rPr>
            <m:sty m:val="p"/>
          </m:rPr>
          <w:rPr>
            <w:rFonts w:ascii="Cambria Math" w:hAnsi="Cambria Math" w:cs="Cambria Math" w:eastAsia="Cambria Math"/>
          </w:rPr>
          <m:t>(</m:t>
        </m:r>
        <m:r>
          <m:rPr>
            <m:sty m:val="p"/>
          </m:rPr>
          <w:rPr>
            <w:rFonts w:ascii="Cambria Math" w:hAnsi="Cambria Math" w:cs="Cambria Math" w:eastAsia="Cambria Math"/>
          </w:rPr>
          <m:t>0.85</m:t>
        </m:r>
        <m:r>
          <m:rPr>
            <m:sty m:val="p"/>
          </m:rPr>
          <w:rPr>
            <w:rFonts w:ascii="Cambria Math" w:hAnsi="Cambria Math" w:cs="Cambria Math" w:eastAsia="Cambria Math"/>
          </w:rPr>
          <m:t>)</m:t>
        </m:r>
      </m:oMath>
      <w:r>
        <w:rPr>
          <w:rFonts w:ascii="宋体" w:hAnsi="宋体" w:eastAsia="宋体"/>
          <w:sz w:val="21"/>
        </w:rPr>
        <w:t>；</w:t>
      </w:r>
    </w:p>
    <w:p>
      <w:pPr>
        <w:pStyle w:val="ListBullet"/>
        <w:spacing w:after="60"/>
      </w:pPr>
      <w:r>
        <w:rPr>
          <w:rFonts w:ascii="宋体" w:hAnsi="宋体" w:eastAsia="宋体"/>
          <w:sz w:val="21"/>
        </w:rPr>
        <w:t>渐进放行控制器按式 (4) 动态递增放行比例：</w:t>
      </w:r>
      <m:oMath>
        <m:r>
          <m:rPr>
            <m:sty m:val="p"/>
          </m:rPr>
          <w:rPr>
            <w:rFonts w:ascii="Cambria Math" w:hAnsi="Cambria Math" w:cs="Cambria Math" w:eastAsia="Cambria Math"/>
          </w:rPr>
          <m:t>2</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15</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45</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100</m:t>
        </m:r>
        <m:r>
          <m:rPr>
            <m:sty m:val="p"/>
          </m:rPr>
          <w:rPr>
            <w:rFonts w:ascii="Cambria Math" w:hAnsi="Cambria Math" w:cs="Cambria Math" w:eastAsia="Cambria Math"/>
          </w:rPr>
          <m:t>%</m:t>
        </m:r>
      </m:oMath>
      <w:r>
        <w:rPr>
          <w:rFonts w:ascii="宋体" w:hAnsi="宋体" w:eastAsia="宋体"/>
          <w:sz w:val="21"/>
        </w:rPr>
        <w:t>；</w:t>
      </w:r>
    </w:p>
    <w:p>
      <w:pPr>
        <w:pStyle w:val="ListBullet"/>
        <w:spacing w:after="60"/>
      </w:pPr>
      <w:r>
        <w:rPr>
          <w:rFonts w:ascii="宋体" w:hAnsi="宋体" w:eastAsia="宋体"/>
          <w:sz w:val="21"/>
        </w:rPr>
        <w:t>全网流量平滑切换至新配置实例，原内存泄露的旧 Pod 优雅排空下线，系统 MTTR 仅为 75 秒，全过程核心结算业务零中断。</w:t>
      </w:r>
    </w:p>
    <w:p>
      <w:pPr>
        <w:pStyle w:val="Heading4"/>
      </w:pPr>
      <w:r>
        <w:rPr>
          <w:rFonts w:ascii="宋体" w:hAnsi="宋体" w:eastAsia="宋体"/>
        </w:rPr>
        <w:t>实施例 2：异常回滚分支实施例 —— 数据库连接池耗尽误判与秒级原子回滚</w:t>
      </w:r>
    </w:p>
    <w:p>
      <w:pPr>
        <w:pStyle w:val="ListBullet"/>
        <w:spacing w:after="60"/>
      </w:pPr>
      <w:r>
        <w:rPr>
          <w:rFonts w:ascii="宋体" w:hAnsi="宋体" w:eastAsia="宋体"/>
          <w:b/>
          <w:sz w:val="21"/>
        </w:rPr>
        <w:t>故障场景与回滚触发</w:t>
      </w:r>
      <w:r>
        <w:rPr>
          <w:rFonts w:ascii="宋体" w:hAnsi="宋体" w:eastAsia="宋体"/>
          <w:sz w:val="21"/>
        </w:rPr>
        <w:t>：</w:t>
      </w:r>
    </w:p>
    <w:p>
      <w:pPr>
        <w:spacing w:after="120" w:line="276" w:lineRule="auto"/>
      </w:pPr>
      <w:r>
        <w:rPr>
          <w:rFonts w:ascii="宋体" w:hAnsi="宋体" w:eastAsia="宋体"/>
          <w:sz w:val="21"/>
        </w:rPr>
        <w:t>在分布式交易系统中，</w:t>
      </w:r>
      <w:r>
        <w:rPr>
          <w:rFonts w:ascii="Consolas" w:hAnsi="Consolas" w:eastAsia="Consolas"/>
          <w:color w:val="333333"/>
          <w:sz w:val="18"/>
        </w:rPr>
        <w:t>Payment-Core-Service</w:t>
      </w:r>
      <w:r>
        <w:rPr>
          <w:rFonts w:ascii="宋体" w:hAnsi="宋体" w:eastAsia="宋体"/>
          <w:sz w:val="21"/>
        </w:rPr>
        <w:t>（支付核心微服务）因底层 MySQL 数据库发生行级死锁，出现数据库连接池占满（Active Connections 达到 Max Limit）。</w:t>
      </w:r>
    </w:p>
    <w:p>
      <w:pPr>
        <w:pStyle w:val="ListBullet"/>
        <w:spacing w:after="60"/>
      </w:pPr>
      <w:r>
        <w:rPr>
          <w:rFonts w:ascii="宋体" w:hAnsi="宋体" w:eastAsia="宋体"/>
          <w:b/>
          <w:sz w:val="21"/>
        </w:rPr>
        <w:t>自愈推演与沙箱验证过程</w:t>
      </w:r>
      <w:r>
        <w:rPr>
          <w:rFonts w:ascii="宋体" w:hAnsi="宋体" w:eastAsia="宋体"/>
          <w:sz w:val="21"/>
        </w:rPr>
        <w:t>：</w:t>
      </w:r>
    </w:p>
    <w:p>
      <w:pPr>
        <w:pStyle w:val="ListNumber"/>
        <w:spacing w:after="60"/>
        <w:numPr>
          <w:ilvl w:val="0"/>
          <w:numId w:val="18"/>
        </w:numPr>
      </w:pPr>
      <w:r>
        <w:rPr>
          <w:rFonts w:ascii="宋体" w:hAnsi="宋体" w:eastAsia="宋体"/>
          <w:sz w:val="21"/>
        </w:rPr>
        <w:t>规划智能体误诊为连接池配置过小，生成自愈 DAG：</w:t>
      </w:r>
      <w:r>
        <w:rPr>
          <w:rFonts w:ascii="宋体" w:hAnsi="宋体" w:eastAsia="宋体"/>
          <w:color w:val="333333"/>
          <w:sz w:val="21"/>
        </w:rPr>
        <w:t>动作: 将 HikariCP 连接池最大连接数从 50 暴力调大至 300 并热更新配置</w:t>
      </w:r>
      <w:r>
        <w:rPr>
          <w:rFonts w:ascii="宋体" w:hAnsi="宋体" w:eastAsia="宋体"/>
          <w:sz w:val="21"/>
        </w:rPr>
        <w:t>。</w:t>
      </w:r>
    </w:p>
    <w:p>
      <w:pPr>
        <w:pStyle w:val="ListNumber"/>
        <w:spacing w:after="60"/>
        <w:numPr>
          <w:ilvl w:val="0"/>
          <w:numId w:val="18"/>
        </w:numPr>
      </w:pPr>
      <w:r>
        <w:rPr>
          <w:rFonts w:ascii="宋体" w:hAnsi="宋体" w:eastAsia="宋体"/>
          <w:sz w:val="21"/>
        </w:rPr>
        <w:t>风控智能体评估该动作为局部配置调整，初始计算得分通过，指令下发至沙箱环境；</w:t>
      </w:r>
    </w:p>
    <w:p>
      <w:pPr>
        <w:pStyle w:val="ListNumber"/>
        <w:spacing w:after="60"/>
        <w:numPr>
          <w:ilvl w:val="0"/>
          <w:numId w:val="18"/>
        </w:numPr>
      </w:pPr>
      <w:r>
        <w:rPr>
          <w:rFonts w:ascii="宋体" w:hAnsi="宋体" w:eastAsia="宋体"/>
          <w:sz w:val="21"/>
        </w:rPr>
        <w:t>系统对沙箱 Pod 注入 3% 的线上真实支付请求。然而，由于底层 MySQL 真正瓶颈在于死锁而非客户端连接数，调大连接数使得沙箱 Pod 瞬间向 MySQL 发起更多并发死锁竞争，导致沙箱 Pod 的错误率迅速攀升至 35%，P99 耗时突破 10 秒；</w:t>
      </w:r>
    </w:p>
    <w:p>
      <w:pPr>
        <w:pStyle w:val="ListNumber"/>
        <w:spacing w:after="60"/>
        <w:numPr>
          <w:ilvl w:val="0"/>
          <w:numId w:val="18"/>
        </w:numPr>
      </w:pPr>
      <w:r>
        <w:rPr>
          <w:rFonts w:ascii="宋体" w:hAnsi="宋体" w:eastAsia="宋体"/>
          <w:sz w:val="21"/>
        </w:rPr>
        <w:t xml:space="preserve">金丝雀监控探针采集指标后，计算得健康度评分 </w:t>
      </w:r>
      <m:oMath>
        <m:sSub>
          <m:e>
            <m:r>
              <m:rPr>
                <m:sty m:val="p"/>
              </m:rPr>
              <w:rPr>
                <w:rFonts w:ascii="Cambria Math" w:hAnsi="Cambria Math" w:cs="Cambria Math" w:eastAsia="Cambria Math"/>
              </w:rPr>
              <m:t>S</m:t>
            </m:r>
          </m:e>
          <m:sub>
            <m:r>
              <m:rPr>
                <m:sty m:val="p"/>
              </m:rPr>
              <w:rPr>
                <w:rFonts w:ascii="Cambria Math" w:hAnsi="Cambria Math" w:cs="Cambria Math" w:eastAsia="Cambria Math"/>
              </w:rPr>
              <m:t>t</m:t>
            </m:r>
          </m:sub>
        </m:sSub>
        <m:r>
          <m:rPr>
            <m:sty m:val="p"/>
          </m:rPr>
          <w:rPr>
            <w:rFonts w:ascii="Cambria Math" w:hAnsi="Cambria Math" w:cs="Cambria Math" w:eastAsia="Cambria Math"/>
          </w:rPr>
          <m:t>=</m:t>
        </m:r>
        <m:r>
          <m:rPr>
            <m:sty m:val="p"/>
          </m:rPr>
          <w:rPr>
            <w:rFonts w:ascii="Cambria Math" w:hAnsi="Cambria Math" w:cs="Cambria Math" w:eastAsia="Cambria Math"/>
          </w:rPr>
          <m:t>0.32</m:t>
        </m:r>
        <m:r>
          <m:rPr>
            <m:sty m:val="p"/>
          </m:rPr>
          <w:rPr>
            <w:rFonts w:ascii="Cambria Math" w:hAnsi="Cambria Math" w:cs="Cambria Math" w:eastAsia="Cambria Math"/>
          </w:rPr>
          <m:t>&lt;</m:t>
        </m:r>
        <m:sSub>
          <m:e>
            <m:r>
              <m:rPr>
                <m:sty m:val="p"/>
              </m:rPr>
              <w:rPr>
                <w:rFonts w:ascii="Cambria Math" w:hAnsi="Cambria Math" w:cs="Cambria Math" w:eastAsia="Cambria Math"/>
              </w:rPr>
              <m:t>τ</m:t>
            </m:r>
          </m:e>
          <m:sub>
            <m:r>
              <m:rPr>
                <m:sty m:val="p"/>
              </m:rPr>
              <w:rPr>
                <w:rFonts w:ascii="Cambria Math" w:hAnsi="Cambria Math" w:cs="Cambria Math" w:eastAsia="Cambria Math"/>
              </w:rPr>
              <m:t>r</m:t>
            </m:r>
            <m:r>
              <m:rPr>
                <m:sty m:val="p"/>
              </m:rPr>
              <w:rPr>
                <w:rFonts w:ascii="Cambria Math" w:hAnsi="Cambria Math" w:cs="Cambria Math" w:eastAsia="Cambria Math"/>
              </w:rPr>
              <m:t>o</m:t>
            </m:r>
            <m:r>
              <m:rPr>
                <m:sty m:val="p"/>
              </m:rPr>
              <w:rPr>
                <w:rFonts w:ascii="Cambria Math" w:hAnsi="Cambria Math" w:cs="Cambria Math" w:eastAsia="Cambria Math"/>
              </w:rPr>
              <m:t>l</m:t>
            </m:r>
            <m:r>
              <m:rPr>
                <m:sty m:val="p"/>
              </m:rPr>
              <w:rPr>
                <w:rFonts w:ascii="Cambria Math" w:hAnsi="Cambria Math" w:cs="Cambria Math" w:eastAsia="Cambria Math"/>
              </w:rPr>
              <m:t>l</m:t>
            </m:r>
            <m:r>
              <m:rPr>
                <m:sty m:val="p"/>
              </m:rPr>
              <w:rPr>
                <w:rFonts w:ascii="Cambria Math" w:hAnsi="Cambria Math" w:cs="Cambria Math" w:eastAsia="Cambria Math"/>
              </w:rPr>
              <m:t>b</m:t>
            </m:r>
            <m:r>
              <m:rPr>
                <m:sty m:val="p"/>
              </m:rPr>
              <w:rPr>
                <w:rFonts w:ascii="Cambria Math" w:hAnsi="Cambria Math" w:cs="Cambria Math" w:eastAsia="Cambria Math"/>
              </w:rPr>
              <m:t>a</m:t>
            </m:r>
            <m:r>
              <m:rPr>
                <m:sty m:val="p"/>
              </m:rPr>
              <w:rPr>
                <w:rFonts w:ascii="Cambria Math" w:hAnsi="Cambria Math" w:cs="Cambria Math" w:eastAsia="Cambria Math"/>
              </w:rPr>
              <m:t>c</m:t>
            </m:r>
            <m:r>
              <m:rPr>
                <m:sty m:val="p"/>
              </m:rPr>
              <w:rPr>
                <w:rFonts w:ascii="Cambria Math" w:hAnsi="Cambria Math" w:cs="Cambria Math" w:eastAsia="Cambria Math"/>
              </w:rPr>
              <m:t>k</m:t>
            </m:r>
          </m:sub>
        </m:sSub>
        <m:r>
          <m:rPr>
            <m:sty m:val="p"/>
          </m:rPr>
          <w:rPr>
            <w:rFonts w:ascii="Cambria Math" w:hAnsi="Cambria Math" w:cs="Cambria Math" w:eastAsia="Cambria Math"/>
          </w:rPr>
          <m:t>(</m:t>
        </m:r>
        <m:r>
          <m:rPr>
            <m:sty m:val="p"/>
          </m:rPr>
          <w:rPr>
            <w:rFonts w:ascii="Cambria Math" w:hAnsi="Cambria Math" w:cs="Cambria Math" w:eastAsia="Cambria Math"/>
          </w:rPr>
          <m:t>0.60</m:t>
        </m:r>
        <m:r>
          <m:rPr>
            <m:sty m:val="p"/>
          </m:rPr>
          <w:rPr>
            <w:rFonts w:ascii="Cambria Math" w:hAnsi="Cambria Math" w:cs="Cambria Math" w:eastAsia="Cambria Math"/>
          </w:rPr>
          <m:t>)</m:t>
        </m:r>
      </m:oMath>
      <w:r>
        <w:rPr>
          <w:rFonts w:ascii="宋体" w:hAnsi="宋体" w:eastAsia="宋体"/>
          <w:sz w:val="21"/>
        </w:rPr>
        <w:t>，触发安全熔断红线。</w:t>
      </w:r>
    </w:p>
    <w:p>
      <w:pPr>
        <w:pStyle w:val="ListBullet"/>
        <w:spacing w:after="60"/>
      </w:pPr>
      <w:r>
        <w:rPr>
          <w:rFonts w:ascii="宋体" w:hAnsi="宋体" w:eastAsia="宋体"/>
          <w:b/>
          <w:sz w:val="21"/>
        </w:rPr>
        <w:t>原子回滚执行</w:t>
      </w:r>
      <w:r>
        <w:rPr>
          <w:rFonts w:ascii="宋体" w:hAnsi="宋体" w:eastAsia="宋体"/>
          <w:sz w:val="21"/>
        </w:rPr>
        <w:t>：</w:t>
      </w:r>
    </w:p>
    <w:p>
      <w:pPr>
        <w:spacing w:after="120" w:line="276" w:lineRule="auto"/>
      </w:pPr>
      <w:r>
        <w:rPr>
          <w:rFonts w:ascii="宋体" w:hAnsi="宋体" w:eastAsia="宋体"/>
          <w:sz w:val="21"/>
        </w:rPr>
        <w:t>回滚引擎瞬间生效：第 0.5 秒切断 Service Mesh 对沙箱 Pod 的 3% 引流，恢复 100% 原始路由；第 1.2 秒调用反向补偿机制，恢复数据库连接池至默认 50，并销毁异常沙箱；第 2.0 秒将误诊原因与现场指标沉淀为负反馈日志，阻断该错误方案全量推广，避免了一场可能导致整个集群数据库被击垮的特大级联生产事故。</w:t>
      </w:r>
    </w:p>
    <w:p>
      <w:pPr>
        <w:pStyle w:val="Heading3"/>
      </w:pPr>
      <w:r>
        <w:rPr>
          <w:rFonts w:ascii="宋体" w:hAnsi="宋体" w:eastAsia="宋体"/>
        </w:rPr>
        <w:t>6.2 技术效果对比</w:t>
      </w:r>
    </w:p>
    <w:p>
      <w:pPr>
        <w:spacing w:after="120" w:line="276" w:lineRule="auto"/>
      </w:pPr>
      <w:r>
        <w:rPr>
          <w:rFonts w:ascii="宋体" w:hAnsi="宋体" w:eastAsia="宋体"/>
          <w:sz w:val="21"/>
        </w:rPr>
        <w:t>在标准包含 120 个微服务节点、日均请求量过亿的金融级云原生生产仿真集群上进行了长周期对比验证，本发明方案与传统运维方案的技术效果量化对比如表 2 所示：</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宋体" w:hAnsi="宋体" w:eastAsia="宋体"/>
                <w:sz w:val="20"/>
              </w:rPr>
            </w:r>
            <w:r>
              <w:rPr>
                <w:rFonts w:ascii="宋体" w:hAnsi="宋体" w:eastAsia="宋体"/>
                <w:sz w:val="20"/>
              </w:rPr>
              <w:t>评估指标</w:t>
            </w:r>
          </w:p>
        </w:tc>
        <w:tc>
          <w:tcPr>
            <w:tcW w:type="dxa" w:w="2160"/>
          </w:tcPr>
          <w:p>
            <w:r>
              <w:rPr>
                <w:rFonts w:ascii="宋体" w:hAnsi="宋体" w:eastAsia="宋体"/>
                <w:sz w:val="20"/>
              </w:rPr>
            </w:r>
            <w:r>
              <w:rPr>
                <w:rFonts w:ascii="宋体" w:hAnsi="宋体" w:eastAsia="宋体"/>
                <w:sz w:val="20"/>
              </w:rPr>
              <w:t>传统人工/静态脚本运维</w:t>
            </w:r>
          </w:p>
        </w:tc>
        <w:tc>
          <w:tcPr>
            <w:tcW w:type="dxa" w:w="2160"/>
          </w:tcPr>
          <w:p>
            <w:r>
              <w:rPr>
                <w:rFonts w:ascii="宋体" w:hAnsi="宋体" w:eastAsia="宋体"/>
                <w:sz w:val="20"/>
              </w:rPr>
            </w:r>
            <w:r>
              <w:rPr>
                <w:rFonts w:ascii="宋体" w:hAnsi="宋体" w:eastAsia="宋体"/>
                <w:sz w:val="20"/>
              </w:rPr>
              <w:t>现有单一模型 AIOps 方案</w:t>
            </w:r>
          </w:p>
        </w:tc>
        <w:tc>
          <w:tcPr>
            <w:tcW w:type="dxa" w:w="2160"/>
          </w:tcPr>
          <w:p>
            <w:r>
              <w:rPr>
                <w:rFonts w:ascii="宋体" w:hAnsi="宋体" w:eastAsia="宋体"/>
                <w:sz w:val="20"/>
              </w:rPr>
            </w:r>
            <w:r>
              <w:rPr>
                <w:rFonts w:ascii="宋体" w:hAnsi="宋体" w:eastAsia="宋体"/>
                <w:sz w:val="20"/>
              </w:rPr>
              <w:t>本发明方案（双Agent+金丝雀沙箱）</w:t>
            </w:r>
          </w:p>
        </w:tc>
      </w:tr>
      <w:tr>
        <w:tc>
          <w:tcPr>
            <w:tcW w:type="dxa" w:w="2160"/>
          </w:tcPr>
          <w:p>
            <w:r>
              <w:rPr>
                <w:rFonts w:ascii="宋体" w:hAnsi="宋体" w:eastAsia="宋体"/>
                <w:sz w:val="20"/>
              </w:rPr>
            </w:r>
            <w:r>
              <w:rPr>
                <w:rFonts w:ascii="宋体" w:hAnsi="宋体" w:eastAsia="宋体"/>
                <w:sz w:val="20"/>
              </w:rPr>
              <w:t>平均故障恢复时间 (MTTR)</w:t>
            </w:r>
          </w:p>
        </w:tc>
        <w:tc>
          <w:tcPr>
            <w:tcW w:type="dxa" w:w="2160"/>
          </w:tcPr>
          <w:p>
            <w:r>
              <w:rPr>
                <w:rFonts w:ascii="宋体" w:hAnsi="宋体" w:eastAsia="宋体"/>
                <w:sz w:val="20"/>
              </w:rPr>
            </w:r>
            <w:r>
              <w:rPr>
                <w:rFonts w:ascii="宋体" w:hAnsi="宋体" w:eastAsia="宋体"/>
                <w:sz w:val="20"/>
              </w:rPr>
              <w:t>18 ~ 45 分钟</w:t>
            </w:r>
          </w:p>
        </w:tc>
        <w:tc>
          <w:tcPr>
            <w:tcW w:type="dxa" w:w="2160"/>
          </w:tcPr>
          <w:p>
            <w:r>
              <w:rPr>
                <w:rFonts w:ascii="宋体" w:hAnsi="宋体" w:eastAsia="宋体"/>
                <w:sz w:val="20"/>
              </w:rPr>
            </w:r>
            <w:r>
              <w:rPr>
                <w:rFonts w:ascii="宋体" w:hAnsi="宋体" w:eastAsia="宋体"/>
                <w:sz w:val="20"/>
              </w:rPr>
              <w:t>4 ~ 8 分钟</w:t>
            </w:r>
          </w:p>
        </w:tc>
        <w:tc>
          <w:tcPr>
            <w:tcW w:type="dxa" w:w="2160"/>
          </w:tcPr>
          <w:p>
            <w:r>
              <w:rPr>
                <w:rFonts w:ascii="宋体" w:hAnsi="宋体" w:eastAsia="宋体"/>
                <w:sz w:val="20"/>
              </w:rPr>
            </w:r>
            <w:r>
              <w:rPr>
                <w:rFonts w:ascii="宋体" w:hAnsi="宋体" w:eastAsia="宋体"/>
                <w:b/>
                <w:sz w:val="20"/>
              </w:rPr>
              <w:t>50 ~ 90 秒</w:t>
            </w:r>
            <w:r>
              <w:rPr>
                <w:rFonts w:ascii="宋体" w:hAnsi="宋体" w:eastAsia="宋体"/>
                <w:sz w:val="20"/>
              </w:rPr>
              <w:t>（大幅压缩）</w:t>
            </w:r>
          </w:p>
        </w:tc>
      </w:tr>
      <w:tr>
        <w:tc>
          <w:tcPr>
            <w:tcW w:type="dxa" w:w="2160"/>
          </w:tcPr>
          <w:p>
            <w:r>
              <w:rPr>
                <w:rFonts w:ascii="宋体" w:hAnsi="宋体" w:eastAsia="宋体"/>
                <w:sz w:val="20"/>
              </w:rPr>
            </w:r>
            <w:r>
              <w:rPr>
                <w:rFonts w:ascii="宋体" w:hAnsi="宋体" w:eastAsia="宋体"/>
                <w:sz w:val="20"/>
              </w:rPr>
              <w:t>生产自愈误操作/次生事故率</w:t>
            </w:r>
          </w:p>
        </w:tc>
        <w:tc>
          <w:tcPr>
            <w:tcW w:type="dxa" w:w="2160"/>
          </w:tcPr>
          <w:p>
            <w:r>
              <w:rPr>
                <w:rFonts w:ascii="宋体" w:hAnsi="宋体" w:eastAsia="宋体"/>
                <w:sz w:val="20"/>
              </w:rPr>
            </w:r>
            <w:r>
              <w:rPr>
                <w:rFonts w:ascii="宋体" w:hAnsi="宋体" w:eastAsia="宋体"/>
                <w:sz w:val="20"/>
              </w:rPr>
              <w:t>8.5%</w:t>
            </w:r>
          </w:p>
        </w:tc>
        <w:tc>
          <w:tcPr>
            <w:tcW w:type="dxa" w:w="2160"/>
          </w:tcPr>
          <w:p>
            <w:r>
              <w:rPr>
                <w:rFonts w:ascii="宋体" w:hAnsi="宋体" w:eastAsia="宋体"/>
                <w:sz w:val="20"/>
              </w:rPr>
            </w:r>
            <w:r>
              <w:rPr>
                <w:rFonts w:ascii="宋体" w:hAnsi="宋体" w:eastAsia="宋体"/>
                <w:sz w:val="20"/>
              </w:rPr>
              <w:t>14.2%（模型幻觉导致）</w:t>
            </w:r>
          </w:p>
        </w:tc>
        <w:tc>
          <w:tcPr>
            <w:tcW w:type="dxa" w:w="2160"/>
          </w:tcPr>
          <w:p>
            <w:r>
              <w:rPr>
                <w:rFonts w:ascii="宋体" w:hAnsi="宋体" w:eastAsia="宋体"/>
                <w:sz w:val="20"/>
              </w:rPr>
            </w:r>
            <w:r>
              <w:rPr>
                <w:rFonts w:ascii="宋体" w:hAnsi="宋体" w:eastAsia="宋体"/>
                <w:b/>
                <w:sz w:val="20"/>
              </w:rPr>
              <w:t>0.0%</w:t>
            </w:r>
            <w:r>
              <w:rPr>
                <w:rFonts w:ascii="宋体" w:hAnsi="宋体" w:eastAsia="宋体"/>
                <w:sz w:val="20"/>
              </w:rPr>
              <w:t>（沙箱试错与安全阻断）</w:t>
            </w:r>
          </w:p>
        </w:tc>
      </w:tr>
      <w:tr>
        <w:tc>
          <w:tcPr>
            <w:tcW w:type="dxa" w:w="2160"/>
          </w:tcPr>
          <w:p>
            <w:r>
              <w:rPr>
                <w:rFonts w:ascii="宋体" w:hAnsi="宋体" w:eastAsia="宋体"/>
                <w:sz w:val="20"/>
              </w:rPr>
            </w:r>
            <w:r>
              <w:rPr>
                <w:rFonts w:ascii="宋体" w:hAnsi="宋体" w:eastAsia="宋体"/>
                <w:sz w:val="20"/>
              </w:rPr>
              <w:t>验证环境准备耗时</w:t>
            </w:r>
          </w:p>
        </w:tc>
        <w:tc>
          <w:tcPr>
            <w:tcW w:type="dxa" w:w="2160"/>
          </w:tcPr>
          <w:p>
            <w:r>
              <w:rPr>
                <w:rFonts w:ascii="宋体" w:hAnsi="宋体" w:eastAsia="宋体"/>
                <w:sz w:val="20"/>
              </w:rPr>
            </w:r>
            <w:r>
              <w:rPr>
                <w:rFonts w:ascii="宋体" w:hAnsi="宋体" w:eastAsia="宋体"/>
                <w:sz w:val="20"/>
              </w:rPr>
              <w:t>10 ~ 25 分钟（全量克隆）</w:t>
            </w:r>
          </w:p>
        </w:tc>
        <w:tc>
          <w:tcPr>
            <w:tcW w:type="dxa" w:w="2160"/>
          </w:tcPr>
          <w:p>
            <w:r>
              <w:rPr>
                <w:rFonts w:ascii="宋体" w:hAnsi="宋体" w:eastAsia="宋体"/>
                <w:sz w:val="20"/>
              </w:rPr>
            </w:r>
            <w:r>
              <w:rPr>
                <w:rFonts w:ascii="宋体" w:hAnsi="宋体" w:eastAsia="宋体"/>
                <w:sz w:val="20"/>
              </w:rPr>
              <w:t>无验证（直接线上执行）</w:t>
            </w:r>
          </w:p>
        </w:tc>
        <w:tc>
          <w:tcPr>
            <w:tcW w:type="dxa" w:w="2160"/>
          </w:tcPr>
          <w:p>
            <w:r>
              <w:rPr>
                <w:rFonts w:ascii="宋体" w:hAnsi="宋体" w:eastAsia="宋体"/>
                <w:sz w:val="20"/>
              </w:rPr>
            </w:r>
            <w:r>
              <w:rPr>
                <w:rFonts w:ascii="宋体" w:hAnsi="宋体" w:eastAsia="宋体"/>
                <w:b/>
                <w:sz w:val="20"/>
              </w:rPr>
              <w:t>3 ~ 5 秒</w:t>
            </w:r>
            <w:r>
              <w:rPr>
                <w:rFonts w:ascii="宋体" w:hAnsi="宋体" w:eastAsia="宋体"/>
                <w:sz w:val="20"/>
              </w:rPr>
              <w:t>（轻量级 Pod 沙箱）</w:t>
            </w:r>
          </w:p>
        </w:tc>
      </w:tr>
      <w:tr>
        <w:tc>
          <w:tcPr>
            <w:tcW w:type="dxa" w:w="2160"/>
          </w:tcPr>
          <w:p>
            <w:r>
              <w:rPr>
                <w:rFonts w:ascii="宋体" w:hAnsi="宋体" w:eastAsia="宋体"/>
                <w:sz w:val="20"/>
              </w:rPr>
            </w:r>
            <w:r>
              <w:rPr>
                <w:rFonts w:ascii="宋体" w:hAnsi="宋体" w:eastAsia="宋体"/>
                <w:sz w:val="20"/>
              </w:rPr>
              <w:t>回滚耗时</w:t>
            </w:r>
          </w:p>
        </w:tc>
        <w:tc>
          <w:tcPr>
            <w:tcW w:type="dxa" w:w="2160"/>
          </w:tcPr>
          <w:p>
            <w:r>
              <w:rPr>
                <w:rFonts w:ascii="宋体" w:hAnsi="宋体" w:eastAsia="宋体"/>
                <w:sz w:val="20"/>
              </w:rPr>
            </w:r>
            <w:r>
              <w:rPr>
                <w:rFonts w:ascii="宋体" w:hAnsi="宋体" w:eastAsia="宋体"/>
                <w:sz w:val="20"/>
              </w:rPr>
              <w:t>5 ~ 15 分钟（人工介入）</w:t>
            </w:r>
          </w:p>
        </w:tc>
        <w:tc>
          <w:tcPr>
            <w:tcW w:type="dxa" w:w="2160"/>
          </w:tcPr>
          <w:p>
            <w:r>
              <w:rPr>
                <w:rFonts w:ascii="宋体" w:hAnsi="宋体" w:eastAsia="宋体"/>
                <w:sz w:val="20"/>
              </w:rPr>
            </w:r>
            <w:r>
              <w:rPr>
                <w:rFonts w:ascii="宋体" w:hAnsi="宋体" w:eastAsia="宋体"/>
                <w:sz w:val="20"/>
              </w:rPr>
              <w:t>无法回滚/状态残缺</w:t>
            </w:r>
          </w:p>
        </w:tc>
        <w:tc>
          <w:tcPr>
            <w:tcW w:type="dxa" w:w="2160"/>
          </w:tcPr>
          <w:p>
            <w:r>
              <w:rPr>
                <w:rFonts w:ascii="宋体" w:hAnsi="宋体" w:eastAsia="宋体"/>
                <w:sz w:val="20"/>
              </w:rPr>
            </w:r>
            <w:r>
              <w:rPr>
                <w:rFonts w:ascii="宋体" w:hAnsi="宋体" w:eastAsia="宋体"/>
                <w:b/>
                <w:sz w:val="20"/>
              </w:rPr>
              <w:t>&lt; 2 秒</w:t>
            </w:r>
            <w:r>
              <w:rPr>
                <w:rFonts w:ascii="宋体" w:hAnsi="宋体" w:eastAsia="宋体"/>
                <w:sz w:val="20"/>
              </w:rPr>
              <w:t>（原子快照对偶补偿）</w:t>
            </w:r>
          </w:p>
        </w:tc>
      </w:tr>
      <w:tr>
        <w:tc>
          <w:tcPr>
            <w:tcW w:type="dxa" w:w="2160"/>
          </w:tcPr>
          <w:p>
            <w:r>
              <w:rPr>
                <w:rFonts w:ascii="宋体" w:hAnsi="宋体" w:eastAsia="宋体"/>
                <w:sz w:val="20"/>
              </w:rPr>
            </w:r>
            <w:r>
              <w:rPr>
                <w:rFonts w:ascii="宋体" w:hAnsi="宋体" w:eastAsia="宋体"/>
                <w:sz w:val="20"/>
              </w:rPr>
              <w:t>高峰期核心业务可用性 (SLA)</w:t>
            </w:r>
          </w:p>
        </w:tc>
        <w:tc>
          <w:tcPr>
            <w:tcW w:type="dxa" w:w="2160"/>
          </w:tcPr>
          <w:p>
            <w:r>
              <w:rPr>
                <w:rFonts w:ascii="宋体" w:hAnsi="宋体" w:eastAsia="宋体"/>
                <w:sz w:val="20"/>
              </w:rPr>
            </w:r>
            <w:r>
              <w:rPr>
                <w:rFonts w:ascii="宋体" w:hAnsi="宋体" w:eastAsia="宋体"/>
                <w:sz w:val="20"/>
              </w:rPr>
              <w:t>99.85%</w:t>
            </w:r>
          </w:p>
        </w:tc>
        <w:tc>
          <w:tcPr>
            <w:tcW w:type="dxa" w:w="2160"/>
          </w:tcPr>
          <w:p>
            <w:r>
              <w:rPr>
                <w:rFonts w:ascii="宋体" w:hAnsi="宋体" w:eastAsia="宋体"/>
                <w:sz w:val="20"/>
              </w:rPr>
            </w:r>
            <w:r>
              <w:rPr>
                <w:rFonts w:ascii="宋体" w:hAnsi="宋体" w:eastAsia="宋体"/>
                <w:sz w:val="20"/>
              </w:rPr>
              <w:t>99.90%</w:t>
            </w:r>
          </w:p>
        </w:tc>
        <w:tc>
          <w:tcPr>
            <w:tcW w:type="dxa" w:w="2160"/>
          </w:tcPr>
          <w:p>
            <w:r>
              <w:rPr>
                <w:rFonts w:ascii="宋体" w:hAnsi="宋体" w:eastAsia="宋体"/>
                <w:sz w:val="20"/>
              </w:rPr>
            </w:r>
            <w:r>
              <w:rPr>
                <w:rFonts w:ascii="宋体" w:hAnsi="宋体" w:eastAsia="宋体"/>
                <w:b/>
                <w:sz w:val="20"/>
              </w:rPr>
              <w:t>99.995%</w:t>
            </w:r>
          </w:p>
        </w:tc>
      </w:tr>
    </w:tbl>
    <w:p>
      <w:pPr>
        <w:pStyle w:val="Heading3"/>
      </w:pPr>
      <w:r>
        <w:rPr>
          <w:rFonts w:ascii="宋体" w:hAnsi="宋体" w:eastAsia="宋体"/>
        </w:rPr>
        <w:t>6.3 参数设置示例</w:t>
      </w:r>
    </w:p>
    <w:p>
      <w:pPr>
        <w:spacing w:after="120" w:line="276" w:lineRule="auto"/>
      </w:pPr>
      <w:r>
        <w:rPr>
          <w:rFonts w:ascii="宋体" w:hAnsi="宋体" w:eastAsia="宋体"/>
          <w:sz w:val="21"/>
        </w:rPr>
        <w:t>在实际生产工程落地中，系统各关键计算参数的典型初始化配置实例如下（注：以下参数值仅为工程实施例参考，不作为权利要求保护范围的限制）：</w:t>
      </w:r>
    </w:p>
    <w:p>
      <w:pPr>
        <w:pStyle w:val="ListBullet"/>
        <w:spacing w:after="60"/>
      </w:pPr>
      <w:r>
        <w:rPr>
          <w:rFonts w:ascii="宋体" w:hAnsi="宋体" w:eastAsia="宋体"/>
          <w:sz w:val="21"/>
        </w:rPr>
        <w:t xml:space="preserve">拓扑扇出加权系数 </w:t>
      </w:r>
      <m:oMath>
        <m:sSub>
          <m:e>
            <m:r>
              <m:rPr>
                <m:sty m:val="p"/>
              </m:rPr>
              <w:rPr>
                <w:rFonts w:ascii="Cambria Math" w:hAnsi="Cambria Math" w:cs="Cambria Math" w:eastAsia="Cambria Math"/>
              </w:rPr>
              <m:t>w</m:t>
            </m:r>
          </m:e>
          <m:sub>
            <m:r>
              <m:rPr>
                <m:sty m:val="p"/>
              </m:rPr>
              <w:rPr>
                <w:rFonts w:ascii="Cambria Math" w:hAnsi="Cambria Math" w:cs="Cambria Math" w:eastAsia="Cambria Math"/>
              </w:rPr>
              <m:t>1</m:t>
            </m:r>
          </m:sub>
        </m:sSub>
        <m:r>
          <m:rPr>
            <m:sty m:val="p"/>
          </m:rPr>
          <w:rPr>
            <w:rFonts w:ascii="Cambria Math" w:hAnsi="Cambria Math" w:cs="Cambria Math" w:eastAsia="Cambria Math"/>
          </w:rPr>
          <m:t>=</m:t>
        </m:r>
        <m:r>
          <m:rPr>
            <m:sty m:val="p"/>
          </m:rPr>
          <w:rPr>
            <w:rFonts w:ascii="Cambria Math" w:hAnsi="Cambria Math" w:cs="Cambria Math" w:eastAsia="Cambria Math"/>
          </w:rPr>
          <m:t>0.40</m:t>
        </m:r>
      </m:oMath>
      <w:r>
        <w:rPr>
          <w:rFonts w:ascii="宋体" w:hAnsi="宋体" w:eastAsia="宋体"/>
          <w:sz w:val="21"/>
        </w:rPr>
        <w:t xml:space="preserve">，资源破坏性加权系数 </w:t>
      </w:r>
      <m:oMath>
        <m:sSub>
          <m:e>
            <m:r>
              <m:rPr>
                <m:sty m:val="p"/>
              </m:rPr>
              <w:rPr>
                <w:rFonts w:ascii="Cambria Math" w:hAnsi="Cambria Math" w:cs="Cambria Math" w:eastAsia="Cambria Math"/>
              </w:rPr>
              <m:t>w</m:t>
            </m:r>
          </m:e>
          <m:sub>
            <m:r>
              <m:rPr>
                <m:sty m:val="p"/>
              </m:rPr>
              <w:rPr>
                <w:rFonts w:ascii="Cambria Math" w:hAnsi="Cambria Math" w:cs="Cambria Math" w:eastAsia="Cambria Math"/>
              </w:rPr>
              <m:t>2</m:t>
            </m:r>
          </m:sub>
        </m:sSub>
        <m:r>
          <m:rPr>
            <m:sty m:val="p"/>
          </m:rPr>
          <w:rPr>
            <w:rFonts w:ascii="Cambria Math" w:hAnsi="Cambria Math" w:cs="Cambria Math" w:eastAsia="Cambria Math"/>
          </w:rPr>
          <m:t>=</m:t>
        </m:r>
        <m:r>
          <m:rPr>
            <m:sty m:val="p"/>
          </m:rPr>
          <w:rPr>
            <w:rFonts w:ascii="Cambria Math" w:hAnsi="Cambria Math" w:cs="Cambria Math" w:eastAsia="Cambria Math"/>
          </w:rPr>
          <m:t>0.30</m:t>
        </m:r>
      </m:oMath>
      <w:r>
        <w:rPr>
          <w:rFonts w:ascii="宋体" w:hAnsi="宋体" w:eastAsia="宋体"/>
          <w:sz w:val="21"/>
        </w:rPr>
        <w:t xml:space="preserve">，业务重要性加权系数 </w:t>
      </w:r>
      <m:oMath>
        <m:sSub>
          <m:e>
            <m:r>
              <m:rPr>
                <m:sty m:val="p"/>
              </m:rPr>
              <w:rPr>
                <w:rFonts w:ascii="Cambria Math" w:hAnsi="Cambria Math" w:cs="Cambria Math" w:eastAsia="Cambria Math"/>
              </w:rPr>
              <m:t>w</m:t>
            </m:r>
          </m:e>
          <m:sub>
            <m:r>
              <m:rPr>
                <m:sty m:val="p"/>
              </m:rPr>
              <w:rPr>
                <w:rFonts w:ascii="Cambria Math" w:hAnsi="Cambria Math" w:cs="Cambria Math" w:eastAsia="Cambria Math"/>
              </w:rPr>
              <m:t>3</m:t>
            </m:r>
          </m:sub>
        </m:sSub>
        <m:r>
          <m:rPr>
            <m:sty m:val="p"/>
          </m:rPr>
          <w:rPr>
            <w:rFonts w:ascii="Cambria Math" w:hAnsi="Cambria Math" w:cs="Cambria Math" w:eastAsia="Cambria Math"/>
          </w:rPr>
          <m:t>=</m:t>
        </m:r>
        <m:r>
          <m:rPr>
            <m:sty m:val="p"/>
          </m:rPr>
          <w:rPr>
            <w:rFonts w:ascii="Cambria Math" w:hAnsi="Cambria Math" w:cs="Cambria Math" w:eastAsia="Cambria Math"/>
          </w:rPr>
          <m:t>0.30</m:t>
        </m:r>
      </m:oMath>
      <w:r>
        <w:rPr>
          <w:rFonts w:ascii="宋体" w:hAnsi="宋体" w:eastAsia="宋体"/>
          <w:sz w:val="21"/>
        </w:rPr>
        <w:t>；</w:t>
      </w:r>
    </w:p>
    <w:p>
      <w:pPr>
        <w:pStyle w:val="ListBullet"/>
        <w:spacing w:after="60"/>
      </w:pPr>
      <w:r>
        <w:rPr>
          <w:rFonts w:ascii="宋体" w:hAnsi="宋体" w:eastAsia="宋体"/>
          <w:sz w:val="21"/>
        </w:rPr>
        <w:t xml:space="preserve">爆炸半径准入上限阈值 </w:t>
      </w:r>
      <m:oMath>
        <m:sSub>
          <m:e>
            <m:r>
              <m:rPr>
                <m:sty m:val="p"/>
              </m:rPr>
              <w:rPr>
                <w:rFonts w:ascii="Cambria Math" w:hAnsi="Cambria Math" w:cs="Cambria Math" w:eastAsia="Cambria Math"/>
              </w:rPr>
              <m:t>τ</m:t>
            </m:r>
          </m:e>
          <m:sub>
            <m:r>
              <m:rPr>
                <m:sty m:val="p"/>
              </m:rPr>
              <w:rPr>
                <w:rFonts w:ascii="Cambria Math" w:hAnsi="Cambria Math" w:cs="Cambria Math" w:eastAsia="Cambria Math"/>
              </w:rPr>
              <m:t>b</m:t>
            </m:r>
            <m:r>
              <m:rPr>
                <m:sty m:val="p"/>
              </m:rPr>
              <w:rPr>
                <w:rFonts w:ascii="Cambria Math" w:hAnsi="Cambria Math" w:cs="Cambria Math" w:eastAsia="Cambria Math"/>
              </w:rPr>
              <m:t>l</m:t>
            </m:r>
            <m:r>
              <m:rPr>
                <m:sty m:val="p"/>
              </m:rPr>
              <w:rPr>
                <w:rFonts w:ascii="Cambria Math" w:hAnsi="Cambria Math" w:cs="Cambria Math" w:eastAsia="Cambria Math"/>
              </w:rPr>
              <m:t>a</m:t>
            </m:r>
            <m:r>
              <m:rPr>
                <m:sty m:val="p"/>
              </m:rPr>
              <w:rPr>
                <w:rFonts w:ascii="Cambria Math" w:hAnsi="Cambria Math" w:cs="Cambria Math" w:eastAsia="Cambria Math"/>
              </w:rPr>
              <m:t>s</m:t>
            </m:r>
            <m:r>
              <m:rPr>
                <m:sty m:val="p"/>
              </m:rPr>
              <w:rPr>
                <w:rFonts w:ascii="Cambria Math" w:hAnsi="Cambria Math" w:cs="Cambria Math" w:eastAsia="Cambria Math"/>
              </w:rPr>
              <m:t>t</m:t>
            </m:r>
          </m:sub>
        </m:sSub>
        <m:r>
          <m:rPr>
            <m:sty m:val="p"/>
          </m:rPr>
          <w:rPr>
            <w:rFonts w:ascii="Cambria Math" w:hAnsi="Cambria Math" w:cs="Cambria Math" w:eastAsia="Cambria Math"/>
          </w:rPr>
          <m:t>=</m:t>
        </m:r>
        <m:r>
          <m:rPr>
            <m:sty m:val="p"/>
          </m:rPr>
          <w:rPr>
            <w:rFonts w:ascii="Cambria Math" w:hAnsi="Cambria Math" w:cs="Cambria Math" w:eastAsia="Cambria Math"/>
          </w:rPr>
          <m:t>0.65</m:t>
        </m:r>
      </m:oMath>
      <w:r>
        <w:rPr>
          <w:rFonts w:ascii="宋体" w:hAnsi="宋体" w:eastAsia="宋体"/>
          <w:sz w:val="21"/>
        </w:rPr>
        <w:t>；</w:t>
      </w:r>
    </w:p>
    <w:p>
      <w:pPr>
        <w:pStyle w:val="ListBullet"/>
        <w:spacing w:after="60"/>
      </w:pPr>
      <w:r>
        <w:rPr>
          <w:rFonts w:ascii="宋体" w:hAnsi="宋体" w:eastAsia="宋体"/>
          <w:sz w:val="21"/>
        </w:rPr>
        <w:t xml:space="preserve">监控采样周期 </w:t>
      </w:r>
      <m:oMath>
        <m:r>
          <m:rPr>
            <m:sty m:val="p"/>
          </m:rPr>
          <w:rPr>
            <w:rFonts w:ascii="Cambria Math" w:hAnsi="Cambria Math" w:cs="Cambria Math" w:eastAsia="Cambria Math"/>
          </w:rPr>
          <m:t>Δ</m:t>
        </m:r>
        <m:r>
          <m:rPr>
            <m:sty m:val="p"/>
          </m:rPr>
          <w:rPr>
            <w:rFonts w:ascii="Cambria Math" w:hAnsi="Cambria Math" w:cs="Cambria Math" w:eastAsia="Cambria Math"/>
          </w:rPr>
          <m:t>t</m:t>
        </m:r>
        <m:r>
          <m:rPr>
            <m:sty m:val="p"/>
          </m:rPr>
          <w:rPr>
            <w:rFonts w:ascii="Cambria Math" w:hAnsi="Cambria Math" w:cs="Cambria Math" w:eastAsia="Cambria Math"/>
          </w:rPr>
          <m:t>=</m:t>
        </m:r>
        <m:r>
          <m:rPr>
            <m:sty m:val="p"/>
          </m:rPr>
          <w:rPr>
            <w:rFonts w:ascii="Cambria Math" w:hAnsi="Cambria Math" w:cs="Cambria Math" w:eastAsia="Cambria Math"/>
          </w:rPr>
          <m:t>2</m:t>
        </m:r>
        <m:r>
          <m:rPr>
            <m:sty m:val="p"/>
          </m:rPr>
          <m:t>秒</m:t>
        </m:r>
      </m:oMath>
      <w:r>
        <w:rPr>
          <w:rFonts w:ascii="宋体" w:hAnsi="宋体" w:eastAsia="宋体"/>
          <w:sz w:val="21"/>
        </w:rPr>
        <w:t xml:space="preserve">，指数平滑衰减系数 </w:t>
      </w:r>
      <m:oMath>
        <m:r>
          <m:rPr>
            <m:sty m:val="p"/>
          </m:rPr>
          <w:rPr>
            <w:rFonts w:ascii="Cambria Math" w:hAnsi="Cambria Math" w:cs="Cambria Math" w:eastAsia="Cambria Math"/>
          </w:rPr>
          <m:t>ρ</m:t>
        </m:r>
        <m:r>
          <m:rPr>
            <m:sty m:val="p"/>
          </m:rPr>
          <w:rPr>
            <w:rFonts w:ascii="Cambria Math" w:hAnsi="Cambria Math" w:cs="Cambria Math" w:eastAsia="Cambria Math"/>
          </w:rPr>
          <m:t>=</m:t>
        </m:r>
        <m:r>
          <m:rPr>
            <m:sty m:val="p"/>
          </m:rPr>
          <w:rPr>
            <w:rFonts w:ascii="Cambria Math" w:hAnsi="Cambria Math" w:cs="Cambria Math" w:eastAsia="Cambria Math"/>
          </w:rPr>
          <m:t>0.70</m:t>
        </m:r>
      </m:oMath>
      <w:r>
        <w:rPr>
          <w:rFonts w:ascii="宋体" w:hAnsi="宋体" w:eastAsia="宋体"/>
          <w:sz w:val="21"/>
        </w:rPr>
        <w:t>；</w:t>
      </w:r>
    </w:p>
    <w:p>
      <w:pPr>
        <w:pStyle w:val="ListBullet"/>
        <w:spacing w:after="60"/>
      </w:pPr>
      <w:r>
        <w:rPr>
          <w:rFonts w:ascii="宋体" w:hAnsi="宋体" w:eastAsia="宋体"/>
          <w:sz w:val="21"/>
        </w:rPr>
        <w:t xml:space="preserve">综合健康度劣化因子权重 </w:t>
      </w:r>
      <m:oMath>
        <m:sSub>
          <m:e>
            <m:r>
              <m:rPr>
                <m:sty m:val="p"/>
              </m:rPr>
              <w:rPr>
                <w:rFonts w:ascii="Cambria Math" w:hAnsi="Cambria Math" w:cs="Cambria Math" w:eastAsia="Cambria Math"/>
              </w:rPr>
              <m:t>u</m:t>
            </m:r>
          </m:e>
          <m:sub>
            <m:r>
              <m:rPr>
                <m:sty m:val="p"/>
              </m:rPr>
              <w:rPr>
                <w:rFonts w:ascii="Cambria Math" w:hAnsi="Cambria Math" w:cs="Cambria Math" w:eastAsia="Cambria Math"/>
              </w:rPr>
              <m:t>1</m:t>
            </m:r>
          </m:sub>
        </m:sSub>
        <m:r>
          <m:rPr>
            <m:sty m:val="p"/>
          </m:rPr>
          <w:rPr>
            <w:rFonts w:ascii="Cambria Math" w:hAnsi="Cambria Math" w:cs="Cambria Math" w:eastAsia="Cambria Math"/>
          </w:rPr>
          <m:t>=</m:t>
        </m:r>
        <m:r>
          <m:rPr>
            <m:sty m:val="p"/>
          </m:rPr>
          <w:rPr>
            <w:rFonts w:ascii="Cambria Math" w:hAnsi="Cambria Math" w:cs="Cambria Math" w:eastAsia="Cambria Math"/>
          </w:rPr>
          <m:t>0.50</m:t>
        </m:r>
        <m:r>
          <m:rPr>
            <m:sty m:val="p"/>
          </m:rPr>
          <w:rPr>
            <w:rFonts w:ascii="Cambria Math" w:hAnsi="Cambria Math" w:cs="Cambria Math" w:eastAsia="Cambria Math"/>
          </w:rPr>
          <m:t>,</m:t>
        </m:r>
        <m:sSub>
          <m:e>
            <m:r>
              <m:rPr>
                <m:sty m:val="p"/>
              </m:rPr>
              <w:rPr>
                <w:rFonts w:ascii="Cambria Math" w:hAnsi="Cambria Math" w:cs="Cambria Math" w:eastAsia="Cambria Math"/>
              </w:rPr>
              <m:t>u</m:t>
            </m:r>
          </m:e>
          <m:sub>
            <m:r>
              <m:rPr>
                <m:sty m:val="p"/>
              </m:rPr>
              <w:rPr>
                <w:rFonts w:ascii="Cambria Math" w:hAnsi="Cambria Math" w:cs="Cambria Math" w:eastAsia="Cambria Math"/>
              </w:rPr>
              <m:t>2</m:t>
            </m:r>
          </m:sub>
        </m:sSub>
        <m:r>
          <m:rPr>
            <m:sty m:val="p"/>
          </m:rPr>
          <w:rPr>
            <w:rFonts w:ascii="Cambria Math" w:hAnsi="Cambria Math" w:cs="Cambria Math" w:eastAsia="Cambria Math"/>
          </w:rPr>
          <m:t>=</m:t>
        </m:r>
        <m:r>
          <m:rPr>
            <m:sty m:val="p"/>
          </m:rPr>
          <w:rPr>
            <w:rFonts w:ascii="Cambria Math" w:hAnsi="Cambria Math" w:cs="Cambria Math" w:eastAsia="Cambria Math"/>
          </w:rPr>
          <m:t>0.30</m:t>
        </m:r>
        <m:r>
          <m:rPr>
            <m:sty m:val="p"/>
          </m:rPr>
          <w:rPr>
            <w:rFonts w:ascii="Cambria Math" w:hAnsi="Cambria Math" w:cs="Cambria Math" w:eastAsia="Cambria Math"/>
          </w:rPr>
          <m:t>,</m:t>
        </m:r>
        <m:sSub>
          <m:e>
            <m:r>
              <m:rPr>
                <m:sty m:val="p"/>
              </m:rPr>
              <w:rPr>
                <w:rFonts w:ascii="Cambria Math" w:hAnsi="Cambria Math" w:cs="Cambria Math" w:eastAsia="Cambria Math"/>
              </w:rPr>
              <m:t>u</m:t>
            </m:r>
          </m:e>
          <m:sub>
            <m:r>
              <m:rPr>
                <m:sty m:val="p"/>
              </m:rPr>
              <w:rPr>
                <w:rFonts w:ascii="Cambria Math" w:hAnsi="Cambria Math" w:cs="Cambria Math" w:eastAsia="Cambria Math"/>
              </w:rPr>
              <m:t>3</m:t>
            </m:r>
          </m:sub>
        </m:sSub>
        <m:r>
          <m:rPr>
            <m:sty m:val="p"/>
          </m:rPr>
          <w:rPr>
            <w:rFonts w:ascii="Cambria Math" w:hAnsi="Cambria Math" w:cs="Cambria Math" w:eastAsia="Cambria Math"/>
          </w:rPr>
          <m:t>=</m:t>
        </m:r>
        <m:r>
          <m:rPr>
            <m:sty m:val="p"/>
          </m:rPr>
          <w:rPr>
            <w:rFonts w:ascii="Cambria Math" w:hAnsi="Cambria Math" w:cs="Cambria Math" w:eastAsia="Cambria Math"/>
          </w:rPr>
          <m:t>0.20</m:t>
        </m:r>
      </m:oMath>
      <w:r>
        <w:rPr>
          <w:rFonts w:ascii="宋体" w:hAnsi="宋体" w:eastAsia="宋体"/>
          <w:sz w:val="21"/>
        </w:rPr>
        <w:t>；</w:t>
      </w:r>
    </w:p>
    <w:p>
      <w:pPr>
        <w:pStyle w:val="ListBullet"/>
        <w:spacing w:after="60"/>
      </w:pPr>
      <w:r>
        <w:rPr>
          <w:rFonts w:ascii="宋体" w:hAnsi="宋体" w:eastAsia="宋体"/>
          <w:sz w:val="21"/>
        </w:rPr>
        <w:t xml:space="preserve">金丝雀放行准入阈值 </w:t>
      </w:r>
      <m:oMath>
        <m:sSub>
          <m:e>
            <m:r>
              <m:rPr>
                <m:sty m:val="p"/>
              </m:rPr>
              <w:rPr>
                <w:rFonts w:ascii="Cambria Math" w:hAnsi="Cambria Math" w:cs="Cambria Math" w:eastAsia="Cambria Math"/>
              </w:rPr>
              <m:t>τ</m:t>
            </m:r>
          </m:e>
          <m:sub>
            <m:r>
              <m:rPr>
                <m:sty m:val="p"/>
              </m:rPr>
              <w:rPr>
                <w:rFonts w:ascii="Cambria Math" w:hAnsi="Cambria Math" w:cs="Cambria Math" w:eastAsia="Cambria Math"/>
              </w:rPr>
              <m:t>p</m:t>
            </m:r>
            <m:r>
              <m:rPr>
                <m:sty m:val="p"/>
              </m:rPr>
              <w:rPr>
                <w:rFonts w:ascii="Cambria Math" w:hAnsi="Cambria Math" w:cs="Cambria Math" w:eastAsia="Cambria Math"/>
              </w:rPr>
              <m:t>a</m:t>
            </m:r>
            <m:r>
              <m:rPr>
                <m:sty m:val="p"/>
              </m:rPr>
              <w:rPr>
                <w:rFonts w:ascii="Cambria Math" w:hAnsi="Cambria Math" w:cs="Cambria Math" w:eastAsia="Cambria Math"/>
              </w:rPr>
              <m:t>s</m:t>
            </m:r>
            <m:r>
              <m:rPr>
                <m:sty m:val="p"/>
              </m:rPr>
              <w:rPr>
                <w:rFonts w:ascii="Cambria Math" w:hAnsi="Cambria Math" w:cs="Cambria Math" w:eastAsia="Cambria Math"/>
              </w:rPr>
              <m:t>s</m:t>
            </m:r>
          </m:sub>
        </m:sSub>
        <m:r>
          <m:rPr>
            <m:sty m:val="p"/>
          </m:rPr>
          <w:rPr>
            <w:rFonts w:ascii="Cambria Math" w:hAnsi="Cambria Math" w:cs="Cambria Math" w:eastAsia="Cambria Math"/>
          </w:rPr>
          <m:t>=</m:t>
        </m:r>
        <m:r>
          <m:rPr>
            <m:sty m:val="p"/>
          </m:rPr>
          <w:rPr>
            <w:rFonts w:ascii="Cambria Math" w:hAnsi="Cambria Math" w:cs="Cambria Math" w:eastAsia="Cambria Math"/>
          </w:rPr>
          <m:t>0.85</m:t>
        </m:r>
      </m:oMath>
      <w:r>
        <w:rPr>
          <w:rFonts w:ascii="宋体" w:hAnsi="宋体" w:eastAsia="宋体"/>
          <w:sz w:val="21"/>
        </w:rPr>
        <w:t xml:space="preserve">，自适应放行调节增益 </w:t>
      </w:r>
      <m:oMath>
        <m:r>
          <m:rPr>
            <m:sty m:val="p"/>
          </m:rPr>
          <w:rPr>
            <w:rFonts w:ascii="Cambria Math" w:hAnsi="Cambria Math" w:cs="Cambria Math" w:eastAsia="Cambria Math"/>
          </w:rPr>
          <m:t>γ</m:t>
        </m:r>
        <m:r>
          <m:rPr>
            <m:sty m:val="p"/>
          </m:rPr>
          <w:rPr>
            <w:rFonts w:ascii="Cambria Math" w:hAnsi="Cambria Math" w:cs="Cambria Math" w:eastAsia="Cambria Math"/>
          </w:rPr>
          <m:t>=</m:t>
        </m:r>
        <m:r>
          <m:rPr>
            <m:sty m:val="p"/>
          </m:rPr>
          <w:rPr>
            <w:rFonts w:ascii="Cambria Math" w:hAnsi="Cambria Math" w:cs="Cambria Math" w:eastAsia="Cambria Math"/>
          </w:rPr>
          <m:t>0.30</m:t>
        </m:r>
      </m:oMath>
      <w:r>
        <w:rPr>
          <w:rFonts w:ascii="宋体" w:hAnsi="宋体" w:eastAsia="宋体"/>
          <w:sz w:val="21"/>
        </w:rPr>
        <w:t>；</w:t>
      </w:r>
    </w:p>
    <w:p>
      <w:pPr>
        <w:pStyle w:val="ListBullet"/>
        <w:spacing w:after="60"/>
      </w:pPr>
      <w:r>
        <w:rPr>
          <w:rFonts w:ascii="宋体" w:hAnsi="宋体" w:eastAsia="宋体"/>
          <w:sz w:val="21"/>
        </w:rPr>
        <w:t xml:space="preserve">安全熔断与原子回滚触发阈值 </w:t>
      </w:r>
      <m:oMath>
        <m:sSub>
          <m:e>
            <m:r>
              <m:rPr>
                <m:sty m:val="p"/>
              </m:rPr>
              <w:rPr>
                <w:rFonts w:ascii="Cambria Math" w:hAnsi="Cambria Math" w:cs="Cambria Math" w:eastAsia="Cambria Math"/>
              </w:rPr>
              <m:t>τ</m:t>
            </m:r>
          </m:e>
          <m:sub>
            <m:r>
              <m:rPr>
                <m:sty m:val="p"/>
              </m:rPr>
              <w:rPr>
                <w:rFonts w:ascii="Cambria Math" w:hAnsi="Cambria Math" w:cs="Cambria Math" w:eastAsia="Cambria Math"/>
              </w:rPr>
              <m:t>r</m:t>
            </m:r>
            <m:r>
              <m:rPr>
                <m:sty m:val="p"/>
              </m:rPr>
              <w:rPr>
                <w:rFonts w:ascii="Cambria Math" w:hAnsi="Cambria Math" w:cs="Cambria Math" w:eastAsia="Cambria Math"/>
              </w:rPr>
              <m:t>o</m:t>
            </m:r>
            <m:r>
              <m:rPr>
                <m:sty m:val="p"/>
              </m:rPr>
              <w:rPr>
                <w:rFonts w:ascii="Cambria Math" w:hAnsi="Cambria Math" w:cs="Cambria Math" w:eastAsia="Cambria Math"/>
              </w:rPr>
              <m:t>l</m:t>
            </m:r>
            <m:r>
              <m:rPr>
                <m:sty m:val="p"/>
              </m:rPr>
              <w:rPr>
                <w:rFonts w:ascii="Cambria Math" w:hAnsi="Cambria Math" w:cs="Cambria Math" w:eastAsia="Cambria Math"/>
              </w:rPr>
              <m:t>l</m:t>
            </m:r>
            <m:r>
              <m:rPr>
                <m:sty m:val="p"/>
              </m:rPr>
              <w:rPr>
                <w:rFonts w:ascii="Cambria Math" w:hAnsi="Cambria Math" w:cs="Cambria Math" w:eastAsia="Cambria Math"/>
              </w:rPr>
              <m:t>b</m:t>
            </m:r>
            <m:r>
              <m:rPr>
                <m:sty m:val="p"/>
              </m:rPr>
              <w:rPr>
                <w:rFonts w:ascii="Cambria Math" w:hAnsi="Cambria Math" w:cs="Cambria Math" w:eastAsia="Cambria Math"/>
              </w:rPr>
              <m:t>a</m:t>
            </m:r>
            <m:r>
              <m:rPr>
                <m:sty m:val="p"/>
              </m:rPr>
              <w:rPr>
                <w:rFonts w:ascii="Cambria Math" w:hAnsi="Cambria Math" w:cs="Cambria Math" w:eastAsia="Cambria Math"/>
              </w:rPr>
              <m:t>c</m:t>
            </m:r>
            <m:r>
              <m:rPr>
                <m:sty m:val="p"/>
              </m:rPr>
              <w:rPr>
                <w:rFonts w:ascii="Cambria Math" w:hAnsi="Cambria Math" w:cs="Cambria Math" w:eastAsia="Cambria Math"/>
              </w:rPr>
              <m:t>k</m:t>
            </m:r>
          </m:sub>
        </m:sSub>
        <m:r>
          <m:rPr>
            <m:sty m:val="p"/>
          </m:rPr>
          <w:rPr>
            <w:rFonts w:ascii="Cambria Math" w:hAnsi="Cambria Math" w:cs="Cambria Math" w:eastAsia="Cambria Math"/>
          </w:rPr>
          <m:t>=</m:t>
        </m:r>
        <m:r>
          <m:rPr>
            <m:sty m:val="p"/>
          </m:rPr>
          <w:rPr>
            <w:rFonts w:ascii="Cambria Math" w:hAnsi="Cambria Math" w:cs="Cambria Math" w:eastAsia="Cambria Math"/>
          </w:rPr>
          <m:t>0.60</m:t>
        </m:r>
      </m:oMath>
      <w:r>
        <w:rPr>
          <w:rFonts w:ascii="宋体" w:hAnsi="宋体" w:eastAsia="宋体"/>
          <w:sz w:val="21"/>
        </w:rPr>
        <w:t>；</w:t>
      </w:r>
    </w:p>
    <w:p>
      <w:pPr>
        <w:pStyle w:val="ListBullet"/>
        <w:spacing w:after="60"/>
      </w:pPr>
      <w:r>
        <w:rPr>
          <w:rFonts w:ascii="宋体" w:hAnsi="宋体" w:eastAsia="宋体"/>
          <w:sz w:val="21"/>
        </w:rPr>
        <w:t xml:space="preserve">金丝雀初始切分流量比例 </w:t>
      </w:r>
      <m:oMath>
        <m:sSub>
          <m:e>
            <m:r>
              <m:rPr>
                <m:sty m:val="p"/>
              </m:rPr>
              <w:rPr>
                <w:rFonts w:ascii="Cambria Math" w:hAnsi="Cambria Math" w:cs="Cambria Math" w:eastAsia="Cambria Math"/>
              </w:rPr>
              <m:t>θ</m:t>
            </m:r>
          </m:e>
          <m:sub>
            <m:r>
              <m:rPr>
                <m:sty m:val="p"/>
              </m:rPr>
              <w:rPr>
                <w:rFonts w:ascii="Cambria Math" w:hAnsi="Cambria Math" w:cs="Cambria Math" w:eastAsia="Cambria Math"/>
              </w:rPr>
              <m:t>0</m:t>
            </m:r>
          </m:sub>
        </m:sSub>
        <m:r>
          <m:rPr>
            <m:sty m:val="p"/>
          </m:rPr>
          <w:rPr>
            <w:rFonts w:ascii="Cambria Math" w:hAnsi="Cambria Math" w:cs="Cambria Math" w:eastAsia="Cambria Math"/>
          </w:rPr>
          <m:t>=</m:t>
        </m:r>
        <m:r>
          <m:rPr>
            <m:sty m:val="p"/>
          </m:rPr>
          <w:rPr>
            <w:rFonts w:ascii="Cambria Math" w:hAnsi="Cambria Math" w:cs="Cambria Math" w:eastAsia="Cambria Math"/>
          </w:rPr>
          <m:t>0.02</m:t>
        </m:r>
      </m:oMath>
      <w:r>
        <w:rPr>
          <w:rFonts w:ascii="宋体" w:hAnsi="宋体" w:eastAsia="宋体"/>
          <w:sz w:val="21"/>
        </w:rPr>
        <w:t>（即 2% 真实流量）。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