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vertAlign w:val="baseline"/>
          <w:rtl w:val="0"/>
        </w:rPr>
        <w:t xml:space="preserve">Asignación #5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Fecha de entrega: 27 de Noviembre de 2015</w:t>
      </w: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       Matrícula: _______________ y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apfHumnst BT" w:cs="ZapfHumnst BT" w:eastAsia="ZapfHumnst BT" w:hAnsi="ZapfHumnst BT"/>
          <w:b w:val="0"/>
          <w:sz w:val="42"/>
          <w:szCs w:val="4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42"/>
          <w:szCs w:val="42"/>
          <w:vertAlign w:val="baseline"/>
          <w:rtl w:val="0"/>
        </w:rPr>
        <w:t xml:space="preserve">Implementar con tipo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Realice una calculadora gráfica en la cual el usuario pueda introducir los valores a calcular presionando [ESPACIO] sobre los números y operaciones a utilizar.  La calculadora puede tener el siguiente aspecto: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68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"/>
        <w:gridCol w:w="327"/>
        <w:gridCol w:w="360"/>
        <w:gridCol w:w="360"/>
        <w:gridCol w:w="394"/>
        <w:tblGridChange w:id="0">
          <w:tblGrid>
            <w:gridCol w:w="327"/>
            <w:gridCol w:w="327"/>
            <w:gridCol w:w="360"/>
            <w:gridCol w:w="360"/>
            <w:gridCol w:w="394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vertAlign w:val="baseline"/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b w:val="1"/>
                <w:color w:val="ff000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b w:val="1"/>
                <w:color w:val="ff000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b w:val="1"/>
                <w:color w:val="ff0000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color w:val="000080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ff99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ff99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000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000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b w:val="1"/>
                <w:color w:val="00008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color w:val="000080"/>
                <w:vertAlign w:val="baseline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000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00008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0000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color w:val="ff0000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Inmediatamente debe salir la calculadora al iniciarse el programa y se mantendrá hasta que el usuario presione [ESC].  Se deberá permitir que además de moverse con las flechas y seleccionar [ESPACIO], se pueda introducir valores simplemente presionándolos en el teclado.  Por ejemplo: los números y demás teclas representadas por símbolos y letras que se encuentran en el teclado.  La letra B significa “BackSpace”, C limpiar entrada actual, T limpiar todas las entradas, I inverso multiplicativo (1/x).  La calculadora debe ser capaz de trabajar con números con punto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662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ZapfHumnst BT"/>
  <w:font w:name="Symbo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76" w:before="0" w:line="240" w:lineRule="auto"/>
      <w:ind w:right="360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Profesor: Alejandro Liz</w:t>
      <w:tab/>
      <w:tab/>
      <w:t xml:space="preserve">13 de noviembre de 2015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Fundamentos de Programación ISC-105-T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Libre Baskerville" w:cs="Libre Baskerville" w:eastAsia="Libre Baskerville" w:hAnsi="Libre Baskerville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Libre Baskerville" w:cs="Libre Baskerville" w:eastAsia="Libre Baskerville" w:hAnsi="Libre Baskerville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ZapfHumnst BT" w:cs="ZapfHumnst BT" w:eastAsia="ZapfHumnst BT" w:hAnsi="ZapfHumnst BT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