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B98D" w14:textId="64985552" w:rsidR="00C87E19" w:rsidRPr="00C87E19" w:rsidRDefault="00C87E19" w:rsidP="00C87E19">
      <w:pPr>
        <w:pStyle w:val="Title"/>
        <w:spacing w:line="312" w:lineRule="auto"/>
        <w:rPr>
          <w:rFonts w:ascii="Times New Roman" w:hAnsi="Times New Roman" w:cs="Times New Roman"/>
        </w:rPr>
      </w:pPr>
      <w:r w:rsidRPr="00C87E19">
        <w:rPr>
          <w:rFonts w:ascii="Times New Roman" w:hAnsi="Times New Roman" w:cs="Times New Roman"/>
        </w:rPr>
        <w:t>Instruction Document</w:t>
      </w:r>
    </w:p>
    <w:p w14:paraId="773C9A74" w14:textId="5E371EA0" w:rsidR="00C87E19" w:rsidRPr="00C87E19" w:rsidRDefault="00C87E19" w:rsidP="00C87E19">
      <w:pPr>
        <w:spacing w:line="312" w:lineRule="auto"/>
        <w:jc w:val="center"/>
        <w:rPr>
          <w:rFonts w:ascii="Times New Roman" w:hAnsi="Times New Roman" w:cs="Times New Roman" w:hint="eastAsia"/>
          <w:sz w:val="24"/>
          <w:szCs w:val="28"/>
        </w:rPr>
      </w:pPr>
      <w:r w:rsidRPr="00C87E19">
        <w:rPr>
          <w:rFonts w:ascii="Times New Roman" w:hAnsi="Times New Roman" w:cs="Times New Roman" w:hint="eastAsia"/>
          <w:sz w:val="24"/>
          <w:szCs w:val="28"/>
        </w:rPr>
        <w:t>Jingze Zhang</w:t>
      </w:r>
    </w:p>
    <w:p w14:paraId="3B1318FD" w14:textId="064D4AB1" w:rsidR="00C87E19" w:rsidRPr="00C87E19" w:rsidRDefault="00C87E19" w:rsidP="00C87E19">
      <w:pPr>
        <w:spacing w:line="312" w:lineRule="auto"/>
        <w:jc w:val="center"/>
        <w:rPr>
          <w:rFonts w:ascii="Times New Roman" w:hAnsi="Times New Roman" w:cs="Times New Roman" w:hint="eastAsia"/>
          <w:sz w:val="24"/>
          <w:szCs w:val="28"/>
        </w:rPr>
      </w:pPr>
      <w:r w:rsidRPr="00C87E19">
        <w:rPr>
          <w:rFonts w:ascii="Times New Roman" w:hAnsi="Times New Roman" w:cs="Times New Roman" w:hint="eastAsia"/>
          <w:sz w:val="24"/>
          <w:szCs w:val="28"/>
        </w:rPr>
        <w:t>03/07/2025</w:t>
      </w:r>
    </w:p>
    <w:p w14:paraId="17FBAE84" w14:textId="6AFE5BC2" w:rsidR="007F64D5" w:rsidRPr="00C87E19" w:rsidRDefault="00D91BFC" w:rsidP="00C87E19">
      <w:pPr>
        <w:spacing w:line="312" w:lineRule="auto"/>
        <w:rPr>
          <w:rFonts w:ascii="Times New Roman" w:hAnsi="Times New Roman" w:cs="Times New Roman"/>
        </w:rPr>
      </w:pPr>
      <w:r w:rsidRPr="00C87E19">
        <w:rPr>
          <w:rFonts w:ascii="Times New Roman" w:hAnsi="Times New Roman" w:cs="Times New Roman"/>
        </w:rPr>
        <w:t xml:space="preserve">This document is designed to help readers understand the contents of the different files in this folder and quickly find or reproduce a task. This document contains descriptions of all files </w:t>
      </w:r>
      <w:r w:rsidR="00C87E19" w:rsidRPr="00C87E19">
        <w:rPr>
          <w:rFonts w:ascii="Times New Roman" w:hAnsi="Times New Roman" w:cs="Times New Roman"/>
        </w:rPr>
        <w:t>in a table</w:t>
      </w:r>
      <w:r w:rsidRPr="00C87E19">
        <w:rPr>
          <w:rFonts w:ascii="Times New Roman" w:hAnsi="Times New Roman" w:cs="Times New Roman"/>
        </w:rPr>
        <w:t xml:space="preserve">. At the end, there is also a </w:t>
      </w:r>
      <w:proofErr w:type="spellStart"/>
      <w:r w:rsidRPr="00C87E19">
        <w:rPr>
          <w:rFonts w:ascii="Times New Roman" w:hAnsi="Times New Roman" w:cs="Times New Roman"/>
        </w:rPr>
        <w:t>github</w:t>
      </w:r>
      <w:proofErr w:type="spellEnd"/>
      <w:r w:rsidRPr="00C87E19">
        <w:rPr>
          <w:rFonts w:ascii="Times New Roman" w:hAnsi="Times New Roman" w:cs="Times New Roman"/>
        </w:rPr>
        <w:t xml:space="preserve"> link containing the </w:t>
      </w:r>
      <w:proofErr w:type="spellStart"/>
      <w:r w:rsidRPr="00C87E19">
        <w:rPr>
          <w:rFonts w:ascii="Times New Roman" w:hAnsi="Times New Roman" w:cs="Times New Roman"/>
        </w:rPr>
        <w:t>github</w:t>
      </w:r>
      <w:proofErr w:type="spellEnd"/>
      <w:r w:rsidRPr="00C87E19">
        <w:rPr>
          <w:rFonts w:ascii="Times New Roman" w:hAnsi="Times New Roman" w:cs="Times New Roman"/>
        </w:rPr>
        <w:t xml:space="preserve"> repository of the project.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3"/>
        <w:gridCol w:w="6293"/>
      </w:tblGrid>
      <w:tr w:rsidR="00D91BFC" w:rsidRPr="00C87E19" w14:paraId="6F7D98BE" w14:textId="77777777" w:rsidTr="00267B3C">
        <w:tc>
          <w:tcPr>
            <w:tcW w:w="2003" w:type="dxa"/>
          </w:tcPr>
          <w:p w14:paraId="359AE088" w14:textId="584058C3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Task1_Analyze.xlsx</w:t>
            </w:r>
          </w:p>
        </w:tc>
        <w:tc>
          <w:tcPr>
            <w:tcW w:w="6293" w:type="dxa"/>
          </w:tcPr>
          <w:p w14:paraId="11A4848C" w14:textId="6169712A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Data source file, provided by the task provider, containing the data involved in the project</w:t>
            </w:r>
            <w:r w:rsidR="00C87E19"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D91BFC" w:rsidRPr="00C87E19" w14:paraId="59343D11" w14:textId="77777777" w:rsidTr="00267B3C">
        <w:tc>
          <w:tcPr>
            <w:tcW w:w="2003" w:type="dxa"/>
          </w:tcPr>
          <w:p w14:paraId="40599F78" w14:textId="502DE33A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Task1.ipynb</w:t>
            </w:r>
          </w:p>
        </w:tc>
        <w:tc>
          <w:tcPr>
            <w:tcW w:w="6293" w:type="dxa"/>
          </w:tcPr>
          <w:p w14:paraId="49478E8B" w14:textId="5AF3D1E7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Python code to complete Task 1. For details, see the comments in the code</w:t>
            </w:r>
            <w:r w:rsidR="00C87E19"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D91BFC" w:rsidRPr="00C87E19" w14:paraId="048D5D9E" w14:textId="77777777" w:rsidTr="00267B3C">
        <w:tc>
          <w:tcPr>
            <w:tcW w:w="2003" w:type="dxa"/>
          </w:tcPr>
          <w:p w14:paraId="44179575" w14:textId="6B2F48CA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Task1_report.xlsx</w:t>
            </w:r>
          </w:p>
        </w:tc>
        <w:tc>
          <w:tcPr>
            <w:tcW w:w="6293" w:type="dxa"/>
          </w:tcPr>
          <w:p w14:paraId="57CD9300" w14:textId="56C868CD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 1 Final Result</w:t>
            </w:r>
            <w:r w:rsidR="00C87E19"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D91BFC" w:rsidRPr="00C87E19" w14:paraId="3F44C5A9" w14:textId="77777777" w:rsidTr="00267B3C">
        <w:tc>
          <w:tcPr>
            <w:tcW w:w="2003" w:type="dxa"/>
          </w:tcPr>
          <w:p w14:paraId="3E4D181E" w14:textId="10CEFC01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Task2.ipynb</w:t>
            </w:r>
          </w:p>
        </w:tc>
        <w:tc>
          <w:tcPr>
            <w:tcW w:w="6293" w:type="dxa"/>
          </w:tcPr>
          <w:p w14:paraId="2EA306B3" w14:textId="1C6691D7" w:rsidR="00D91BFC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Python code to generate the visualization in Task 2</w:t>
            </w:r>
            <w:r w:rsidRPr="00C87E19">
              <w:rPr>
                <w:rFonts w:ascii="Times New Roman" w:hAnsi="Times New Roman" w:cs="Times New Roman"/>
              </w:rPr>
              <w:t>, including</w:t>
            </w:r>
            <w:r w:rsidRPr="00C87E19">
              <w:rPr>
                <w:rFonts w:ascii="Times New Roman" w:hAnsi="Times New Roman" w:cs="Times New Roman"/>
              </w:rPr>
              <w:t xml:space="preserve"> an interactive visualization (users can freely select different countries, regions, income groups, etc. to deeply analyze the patterns and differences in global medical spending), a static visualization (a basic version of the interactive visualization), and some simple statistical analysis to get some insights.</w:t>
            </w:r>
          </w:p>
        </w:tc>
      </w:tr>
      <w:tr w:rsidR="00D91BFC" w:rsidRPr="00C87E19" w14:paraId="0520488F" w14:textId="77777777" w:rsidTr="00267B3C">
        <w:tc>
          <w:tcPr>
            <w:tcW w:w="2003" w:type="dxa"/>
          </w:tcPr>
          <w:p w14:paraId="4C5FCCEB" w14:textId="460F3607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Task2_Static.png</w:t>
            </w:r>
          </w:p>
        </w:tc>
        <w:tc>
          <w:tcPr>
            <w:tcW w:w="6293" w:type="dxa"/>
          </w:tcPr>
          <w:p w14:paraId="12453C20" w14:textId="6F20DB8C" w:rsidR="00D91BFC" w:rsidRPr="00C87E19" w:rsidRDefault="00D91BFC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Static Visualization</w:t>
            </w:r>
            <w:r w:rsidR="00C87E19" w:rsidRPr="00C87E19">
              <w:rPr>
                <w:rFonts w:ascii="Times New Roman" w:hAnsi="Times New Roman" w:cs="Times New Roman"/>
              </w:rPr>
              <w:t xml:space="preserve"> and result</w:t>
            </w:r>
            <w:r w:rsidRPr="00C87E19">
              <w:rPr>
                <w:rFonts w:ascii="Times New Roman" w:hAnsi="Times New Roman" w:cs="Times New Roman"/>
              </w:rPr>
              <w:t xml:space="preserve"> of Task 2</w:t>
            </w:r>
            <w:r w:rsidR="00C87E19"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D91BFC" w:rsidRPr="00C87E19" w14:paraId="58C65C36" w14:textId="77777777" w:rsidTr="00267B3C">
        <w:tc>
          <w:tcPr>
            <w:tcW w:w="2003" w:type="dxa"/>
          </w:tcPr>
          <w:p w14:paraId="428C3A84" w14:textId="59FD6F7D" w:rsidR="00D91BFC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Task2.html</w:t>
            </w:r>
          </w:p>
        </w:tc>
        <w:tc>
          <w:tcPr>
            <w:tcW w:w="6293" w:type="dxa"/>
          </w:tcPr>
          <w:p w14:paraId="18ADA602" w14:textId="40568F5C" w:rsidR="00D91BFC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Interactive visualization</w:t>
            </w:r>
            <w:r w:rsidRPr="00C87E19">
              <w:rPr>
                <w:rFonts w:ascii="Times New Roman" w:hAnsi="Times New Roman" w:cs="Times New Roman"/>
              </w:rPr>
              <w:t xml:space="preserve"> and result of Task 2.</w:t>
            </w:r>
            <w:r w:rsidRPr="00C87E19">
              <w:rPr>
                <w:rFonts w:ascii="Times New Roman" w:hAnsi="Times New Roman" w:cs="Times New Roman"/>
              </w:rPr>
              <w:t xml:space="preserve"> (Note: This is just one of the interactive visualizations. Since the interactive design cannot be completely saved in the HTML file, please access </w:t>
            </w:r>
            <w:proofErr w:type="gramStart"/>
            <w:r w:rsidRPr="00C87E19">
              <w:rPr>
                <w:rFonts w:ascii="Times New Roman" w:hAnsi="Times New Roman" w:cs="Times New Roman"/>
              </w:rPr>
              <w:t xml:space="preserve">the </w:t>
            </w:r>
            <w:r w:rsidRPr="00C87E19">
              <w:rPr>
                <w:rFonts w:ascii="Times New Roman" w:hAnsi="Times New Roman" w:cs="Times New Roman"/>
              </w:rPr>
              <w:t>.</w:t>
            </w:r>
            <w:proofErr w:type="spellStart"/>
            <w:r w:rsidRPr="00C87E19">
              <w:rPr>
                <w:rFonts w:ascii="Times New Roman" w:hAnsi="Times New Roman" w:cs="Times New Roman"/>
              </w:rPr>
              <w:t>ipynb</w:t>
            </w:r>
            <w:proofErr w:type="spellEnd"/>
            <w:proofErr w:type="gramEnd"/>
            <w:r w:rsidRPr="00C87E19">
              <w:rPr>
                <w:rFonts w:ascii="Times New Roman" w:hAnsi="Times New Roman" w:cs="Times New Roman"/>
              </w:rPr>
              <w:t xml:space="preserve"> file and run it to get the complete interactive visualization)</w:t>
            </w:r>
            <w:r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C87E19" w:rsidRPr="00C87E19" w14:paraId="6164BC4A" w14:textId="77777777" w:rsidTr="00267B3C">
        <w:tc>
          <w:tcPr>
            <w:tcW w:w="2003" w:type="dxa"/>
          </w:tcPr>
          <w:p w14:paraId="67491A5C" w14:textId="2C978206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Task2_files</w:t>
            </w:r>
            <w:r w:rsidRPr="00C87E19">
              <w:rPr>
                <w:rFonts w:ascii="Times New Roman" w:hAnsi="Times New Roman" w:cs="Times New Roman"/>
              </w:rPr>
              <w:t xml:space="preserve"> folder</w:t>
            </w:r>
          </w:p>
        </w:tc>
        <w:tc>
          <w:tcPr>
            <w:tcW w:w="6293" w:type="dxa"/>
          </w:tcPr>
          <w:p w14:paraId="7A852837" w14:textId="6688E3DF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Supporting documents for Task 2 interactive visualization</w:t>
            </w:r>
          </w:p>
        </w:tc>
      </w:tr>
      <w:tr w:rsidR="00C87E19" w:rsidRPr="00C87E19" w14:paraId="0926EDB6" w14:textId="77777777" w:rsidTr="00267B3C">
        <w:tc>
          <w:tcPr>
            <w:tcW w:w="2003" w:type="dxa"/>
          </w:tcPr>
          <w:p w14:paraId="66559EA7" w14:textId="3DAB6AA5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Task3.ipynb</w:t>
            </w:r>
          </w:p>
        </w:tc>
        <w:tc>
          <w:tcPr>
            <w:tcW w:w="6293" w:type="dxa"/>
          </w:tcPr>
          <w:p w14:paraId="7DB44E25" w14:textId="29A60D02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Python code generation task3 visualization</w:t>
            </w:r>
            <w:r w:rsidRPr="00C87E19">
              <w:rPr>
                <w:rFonts w:ascii="Times New Roman" w:hAnsi="Times New Roman" w:cs="Times New Roman"/>
              </w:rPr>
              <w:t>.</w:t>
            </w:r>
          </w:p>
        </w:tc>
      </w:tr>
      <w:tr w:rsidR="00C87E19" w:rsidRPr="00C87E19" w14:paraId="2F861AB2" w14:textId="77777777" w:rsidTr="00267B3C">
        <w:tc>
          <w:tcPr>
            <w:tcW w:w="2003" w:type="dxa"/>
          </w:tcPr>
          <w:p w14:paraId="2E35FC78" w14:textId="0CE0908F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Task3_figure.png</w:t>
            </w:r>
          </w:p>
        </w:tc>
        <w:tc>
          <w:tcPr>
            <w:tcW w:w="6293" w:type="dxa"/>
          </w:tcPr>
          <w:p w14:paraId="68235BD0" w14:textId="6A6D9F9A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V</w:t>
            </w:r>
            <w:r w:rsidRPr="00C87E19">
              <w:rPr>
                <w:rFonts w:ascii="Times New Roman" w:hAnsi="Times New Roman" w:cs="Times New Roman"/>
              </w:rPr>
              <w:t>isualization designed for Task 3 slide</w:t>
            </w:r>
            <w:r w:rsidRPr="00C87E19">
              <w:rPr>
                <w:rFonts w:ascii="Times New Roman" w:hAnsi="Times New Roman" w:cs="Times New Roman"/>
              </w:rPr>
              <w:t>,</w:t>
            </w:r>
            <w:r w:rsidRPr="00C87E19">
              <w:rPr>
                <w:rFonts w:ascii="Times New Roman" w:hAnsi="Times New Roman" w:cs="Times New Roman"/>
              </w:rPr>
              <w:t xml:space="preserve"> can better show the data characteristics.</w:t>
            </w:r>
          </w:p>
        </w:tc>
      </w:tr>
      <w:tr w:rsidR="00C87E19" w:rsidRPr="00C87E19" w14:paraId="39998FD4" w14:textId="77777777" w:rsidTr="00267B3C">
        <w:tc>
          <w:tcPr>
            <w:tcW w:w="2003" w:type="dxa"/>
          </w:tcPr>
          <w:p w14:paraId="2E743F73" w14:textId="5667F65A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Task3_slide.pptx</w:t>
            </w:r>
          </w:p>
        </w:tc>
        <w:tc>
          <w:tcPr>
            <w:tcW w:w="6293" w:type="dxa"/>
          </w:tcPr>
          <w:p w14:paraId="3CB2FCD0" w14:textId="01A19459" w:rsidR="00C87E19" w:rsidRPr="00C87E19" w:rsidRDefault="00C87E19" w:rsidP="00267B3C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C87E19">
              <w:rPr>
                <w:rFonts w:ascii="Times New Roman" w:hAnsi="Times New Roman" w:cs="Times New Roman"/>
              </w:rPr>
              <w:t>Task 3 result, a well-designed slide</w:t>
            </w:r>
            <w:r w:rsidRPr="00C87E19">
              <w:rPr>
                <w:rFonts w:ascii="Times New Roman" w:hAnsi="Times New Roman" w:cs="Times New Roman"/>
              </w:rPr>
              <w:t>.</w:t>
            </w:r>
          </w:p>
        </w:tc>
      </w:tr>
    </w:tbl>
    <w:p w14:paraId="268950DC" w14:textId="77777777" w:rsidR="00267B3C" w:rsidRDefault="00267B3C" w:rsidP="00C87E19">
      <w:pPr>
        <w:spacing w:line="312" w:lineRule="auto"/>
        <w:rPr>
          <w:rFonts w:ascii="Times New Roman" w:hAnsi="Times New Roman" w:cs="Times New Roman"/>
        </w:rPr>
      </w:pPr>
    </w:p>
    <w:p w14:paraId="4389934A" w14:textId="30DCED53" w:rsidR="00C87E19" w:rsidRPr="00C87E19" w:rsidRDefault="00C87E19" w:rsidP="00C87E19">
      <w:pPr>
        <w:spacing w:line="312" w:lineRule="auto"/>
        <w:rPr>
          <w:rFonts w:ascii="Times New Roman" w:hAnsi="Times New Roman" w:cs="Times New Roman" w:hint="eastAsia"/>
        </w:rPr>
      </w:pPr>
      <w:r w:rsidRPr="00C87E19">
        <w:rPr>
          <w:rFonts w:ascii="Times New Roman" w:hAnsi="Times New Roman" w:cs="Times New Roman"/>
        </w:rPr>
        <w:t xml:space="preserve">For more details, please refer to </w:t>
      </w:r>
      <w:hyperlink r:id="rId5" w:history="1">
        <w:r w:rsidRPr="00C87E19">
          <w:rPr>
            <w:rStyle w:val="Hyperlink"/>
            <w:rFonts w:ascii="Times New Roman" w:hAnsi="Times New Roman" w:cs="Times New Roman"/>
          </w:rPr>
          <w:t>https://github.com/felixazzzz/Health-Expenditure-Analysis-Python</w:t>
        </w:r>
      </w:hyperlink>
    </w:p>
    <w:sectPr w:rsidR="00C87E19" w:rsidRPr="00C87E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D5"/>
    <w:rsid w:val="00267B3C"/>
    <w:rsid w:val="00370F2A"/>
    <w:rsid w:val="007F64D5"/>
    <w:rsid w:val="00C87E19"/>
    <w:rsid w:val="00D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A869"/>
  <w15:chartTrackingRefBased/>
  <w15:docId w15:val="{C07027F7-5B67-4854-9657-1B54776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4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4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D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D5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D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D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D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D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F64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azzzz/Health-Expenditure-Analysi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3D27-1AE3-460C-8E53-8A459855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Jingze Zhang</dc:creator>
  <cp:keywords/>
  <dc:description/>
  <cp:lastModifiedBy>Jingze Zhang</cp:lastModifiedBy>
  <cp:revision>1</cp:revision>
  <dcterms:created xsi:type="dcterms:W3CDTF">2025-03-07T08:55:00Z</dcterms:created>
  <dcterms:modified xsi:type="dcterms:W3CDTF">2025-03-07T09:56:00Z</dcterms:modified>
</cp:coreProperties>
</file>