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lang w:val="en-US"/>
        </w:rPr>
        <w:t>STRUCTURE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Crystallographer:</w:t>
      </w:r>
      <w:r>
        <w:rPr>
          <w:lang w:val="en-US"/>
        </w:rPr>
        <w:t xml:space="preserve"> </w:t>
        <w:tab/>
        <w:t>F. Engelhardt</w:t>
      </w:r>
    </w:p>
    <w:p>
      <w:pPr>
        <w:pStyle w:val="Normal"/>
        <w:rPr/>
      </w:pPr>
      <w:r>
        <w:rPr>
          <w:b/>
          <w:bCs/>
          <w:lang w:val="en-US"/>
        </w:rPr>
        <w:t>ID code:</w:t>
      </w:r>
      <w:r>
        <w:rPr>
          <w:lang w:val="en-US"/>
        </w:rPr>
        <w:tab/>
        <w:t>IDCODE</w:t>
        <w:tab/>
        <w:tab/>
        <w:t>Date: DATE</w:t>
      </w:r>
    </w:p>
    <w:p>
      <w:pPr>
        <w:pStyle w:val="Normal"/>
        <w:rPr/>
      </w:pPr>
      <w:r>
        <w:rPr>
          <w:b/>
          <w:bCs/>
          <w:lang w:val="en-US"/>
        </w:rPr>
        <w:t>Sample by:</w:t>
      </w:r>
      <w:r>
        <w:rPr>
          <w:lang w:val="en-US"/>
        </w:rPr>
        <w:tab/>
        <w:t>USER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Compound:</w:t>
      </w:r>
      <w:r>
        <w:rPr>
          <w:lang w:val="en-US"/>
        </w:rPr>
        <w:tab/>
      </w:r>
    </w:p>
    <w:p>
      <w:pPr>
        <w:pStyle w:val="Normal"/>
        <w:rPr/>
      </w:pPr>
      <w:r>
        <w:rPr>
          <w:b/>
          <w:bCs/>
          <w:lang w:val="en-US"/>
        </w:rPr>
        <w:t>Formula sum:</w:t>
      </w:r>
      <w:r>
        <w:rPr>
          <w:lang w:val="en-US"/>
        </w:rPr>
        <w:tab/>
      </w:r>
      <w:r>
        <w:rPr>
          <w:lang w:val="en-US"/>
        </w:rPr>
        <w:t>SUM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Formula moieties:</w:t>
      </w:r>
      <w:r>
        <w:rPr>
          <w:lang w:val="en-US"/>
        </w:rPr>
        <w:tab/>
        <w:t>MOI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PICTURE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Figure 1</w:t>
      </w:r>
      <w:r>
        <w:rPr>
          <w:lang w:val="en-US"/>
        </w:rPr>
        <w:t xml:space="preserve">. Molecular structure of the title compound in the crystalline state. Thermal ellipsoids of the heavier atoms with 50% probability, H atoms omitted for clarity. </w:t>
      </w:r>
    </w:p>
    <w:p>
      <w:pPr>
        <w:pStyle w:val="Normal"/>
        <w:rPr/>
      </w:pPr>
      <w:r>
        <w:rPr>
          <w:lang w:val="en-US"/>
        </w:rPr>
        <w:t> </w:t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Crystallographic Data and Details on Structure Refinement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formula sum</w:t>
        <w:tab/>
        <w:tab/>
        <w:t>SUM</w:t>
      </w:r>
    </w:p>
    <w:p>
      <w:pPr>
        <w:pStyle w:val="Normal"/>
        <w:rPr/>
      </w:pPr>
      <w:r>
        <w:rPr>
          <w:lang w:val="en-US"/>
        </w:rPr>
        <w:t>formula weight</w:t>
        <w:tab/>
        <w:tab/>
        <w:t>WEIGHT</w:t>
      </w:r>
    </w:p>
    <w:p>
      <w:pPr>
        <w:pStyle w:val="Normal"/>
        <w:rPr>
          <w:lang w:val="en-US"/>
        </w:rPr>
      </w:pPr>
      <w:r>
        <w:rPr>
          <w:lang w:val="en-US"/>
        </w:rPr>
        <w:t>crystal size (mm)</w:t>
        <w:tab/>
        <w:tab/>
        <w:t>SIZE mm</w:t>
      </w:r>
    </w:p>
    <w:p>
      <w:pPr>
        <w:pStyle w:val="Normal"/>
        <w:rPr>
          <w:lang w:val="en-US"/>
        </w:rPr>
      </w:pPr>
      <w:r>
        <w:rPr>
          <w:lang w:val="en-US"/>
        </w:rPr>
        <w:t>crystal system</w:t>
        <w:tab/>
        <w:tab/>
        <w:t>CRYSSYSTEM</w:t>
      </w:r>
    </w:p>
    <w:p>
      <w:pPr>
        <w:pStyle w:val="Normal"/>
        <w:rPr/>
      </w:pPr>
      <w:r>
        <w:rPr>
          <w:lang w:val="en-US"/>
        </w:rPr>
        <w:t>space group</w:t>
        <w:tab/>
        <w:tab/>
        <w:t>SPGRP</w:t>
      </w:r>
    </w:p>
    <w:p>
      <w:pPr>
        <w:pStyle w:val="Normal"/>
        <w:rPr>
          <w:lang w:val="en-US"/>
        </w:rPr>
      </w:pPr>
      <w:r>
        <w:rPr>
          <w:lang w:val="en-US"/>
        </w:rPr>
        <w:t>unit cell parameters</w:t>
      </w:r>
    </w:p>
    <w:p>
      <w:pPr>
        <w:pStyle w:val="Normal"/>
        <w:rPr/>
      </w:pPr>
      <w:r>
        <w:rPr>
          <w:lang w:val="en-US"/>
        </w:rPr>
        <w:tab/>
        <w:t>a (Å)</w:t>
        <w:tab/>
        <w:tab/>
        <w:t>CELLA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 (Å)</w:t>
        <w:tab/>
        <w:tab/>
        <w:t>CELLB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 (Å)</w:t>
        <w:tab/>
        <w:tab/>
        <w:t>CELLC</w:t>
      </w:r>
    </w:p>
    <w:p>
      <w:pPr>
        <w:pStyle w:val="Normal"/>
        <w:rPr/>
      </w:pPr>
      <w:r>
        <w:rPr>
          <w:lang w:val="en-US"/>
        </w:rPr>
        <w:tab/>
      </w:r>
      <w:r>
        <w:rPr>
          <w:rFonts w:cs="Calibri" w:cstheme="minorHAnsi"/>
          <w:lang w:val="en-US"/>
        </w:rPr>
        <w:t>α</w:t>
      </w:r>
      <w:r>
        <w:rPr/>
        <w:t xml:space="preserve"> (deg)</w:t>
        <w:tab/>
        <w:tab/>
        <w:t>ALPHA</w:t>
      </w:r>
    </w:p>
    <w:p>
      <w:pPr>
        <w:pStyle w:val="Normal"/>
        <w:rPr/>
      </w:pPr>
      <w:r>
        <w:rPr/>
        <w:tab/>
      </w:r>
      <w:r>
        <w:rPr>
          <w:rFonts w:cs="Calibri" w:cstheme="minorHAnsi"/>
        </w:rPr>
        <w:t>β</w:t>
      </w:r>
      <w:r>
        <w:rPr/>
        <w:t xml:space="preserve"> (deg)</w:t>
        <w:tab/>
        <w:tab/>
        <w:t>BETA</w:t>
      </w:r>
    </w:p>
    <w:p>
      <w:pPr>
        <w:pStyle w:val="Normal"/>
        <w:rPr/>
      </w:pPr>
      <w:r>
        <w:rPr/>
        <w:tab/>
      </w:r>
      <w:r>
        <w:rPr>
          <w:rFonts w:cs="Calibri" w:cstheme="minorHAnsi"/>
        </w:rPr>
        <w:t>γ</w:t>
      </w:r>
      <w:r>
        <w:rPr/>
        <w:t xml:space="preserve"> (deg)</w:t>
        <w:tab/>
        <w:tab/>
        <w:t>GAMMA</w:t>
      </w:r>
    </w:p>
    <w:p>
      <w:pPr>
        <w:pStyle w:val="Normal"/>
        <w:rPr/>
      </w:pPr>
      <w:r>
        <w:rPr>
          <w:lang w:val="en-US"/>
        </w:rPr>
        <w:t>unit cell volume V (Å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  <w:tab/>
        <w:t>VOLUME</w:t>
      </w:r>
    </w:p>
    <w:p>
      <w:pPr>
        <w:pStyle w:val="Normal"/>
        <w:rPr>
          <w:lang w:val="en-US"/>
        </w:rPr>
      </w:pPr>
      <w:r>
        <w:rPr>
          <w:lang w:val="en-US"/>
        </w:rPr>
        <w:t>molecules per cell z</w:t>
        <w:tab/>
        <w:tab/>
        <w:t>ZERR</w:t>
      </w:r>
    </w:p>
    <w:p>
      <w:pPr>
        <w:pStyle w:val="Normal"/>
        <w:rPr/>
      </w:pPr>
      <w:r>
        <w:rPr>
          <w:lang w:val="en-US"/>
        </w:rPr>
        <w:t xml:space="preserve">crystallographic density </w:t>
      </w:r>
      <w:r>
        <w:rPr>
          <w:rFonts w:cs="Calibri" w:cstheme="minorHAnsi"/>
        </w:rPr>
        <w:t>μ</w:t>
      </w:r>
      <w:r>
        <w:rPr>
          <w:lang w:val="en-US"/>
        </w:rPr>
        <w:t xml:space="preserve"> calcd (g cm</w:t>
      </w:r>
      <w:r>
        <w:rPr>
          <w:vertAlign w:val="superscript"/>
          <w:lang w:val="en-US"/>
        </w:rPr>
        <w:t>-3</w:t>
      </w:r>
      <w:r>
        <w:rPr>
          <w:lang w:val="en-US"/>
        </w:rPr>
        <w:t>)</w:t>
        <w:tab/>
        <w:t>DENSITY</w:t>
      </w:r>
    </w:p>
    <w:p>
      <w:pPr>
        <w:pStyle w:val="Normal"/>
        <w:rPr/>
      </w:pPr>
      <w:r>
        <w:rPr/>
        <w:t>absorption coefficient µ (mm</w:t>
      </w:r>
      <w:r>
        <w:rPr>
          <w:vertAlign w:val="superscript"/>
        </w:rPr>
        <w:t>-1</w:t>
      </w:r>
      <w:r>
        <w:rPr/>
        <w:t>)</w:t>
        <w:tab/>
        <w:t>MU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diffractometer</w:t>
        <w:tab/>
        <w:tab/>
        <w:t>STOE IPDS 2T</w:t>
      </w:r>
    </w:p>
    <w:p>
      <w:pPr>
        <w:pStyle w:val="Normal"/>
        <w:rPr/>
      </w:pPr>
      <w:r>
        <w:rPr>
          <w:lang w:val="en-US"/>
        </w:rPr>
        <w:t>radiation (</w:t>
      </w:r>
      <w:r>
        <w:rPr>
          <w:rFonts w:cs="Calibri" w:cstheme="minorHAnsi"/>
          <w:lang w:val="en-US"/>
        </w:rPr>
        <w:t>λ</w:t>
      </w:r>
      <w:r>
        <w:rPr>
          <w:lang w:val="en-US"/>
        </w:rPr>
        <w:t xml:space="preserve"> [Å])</w:t>
        <w:tab/>
        <w:tab/>
        <w:t>graphite-monochromated Mo-K</w:t>
      </w:r>
      <w:r>
        <w:rPr>
          <w:rFonts w:cs="Calibri" w:cstheme="minorHAnsi"/>
        </w:rPr>
        <w:t>α</w:t>
        <w:tab/>
        <w:tab/>
        <w:tab/>
        <w:tab/>
      </w:r>
      <w:r>
        <w:rPr>
          <w:lang w:val="en-US"/>
        </w:rPr>
        <w:t>(0.71073)</w:t>
      </w:r>
    </w:p>
    <w:p>
      <w:pPr>
        <w:pStyle w:val="Normal"/>
        <w:rPr>
          <w:lang w:val="en-US"/>
        </w:rPr>
      </w:pPr>
      <w:r>
        <w:rPr>
          <w:lang w:val="en-US"/>
        </w:rPr>
        <w:t>temperature (°C)</w:t>
        <w:tab/>
        <w:tab/>
        <w:t>-173.15</w:t>
      </w:r>
    </w:p>
    <w:p>
      <w:pPr>
        <w:pStyle w:val="Normal"/>
        <w:rPr>
          <w:lang w:val="en-US"/>
        </w:rPr>
      </w:pPr>
      <w:r>
        <w:rPr>
          <w:lang w:val="en-US"/>
        </w:rPr>
        <w:t>scan type</w:t>
        <w:tab/>
        <w:tab/>
      </w:r>
      <w:r>
        <w:rPr>
          <w:rFonts w:cs="Calibri" w:cstheme="minorHAnsi"/>
        </w:rPr>
        <w:t>ω</w:t>
      </w:r>
      <w:r>
        <w:rPr>
          <w:lang w:val="en-US"/>
        </w:rPr>
        <w:t xml:space="preserve"> scan (increment 1.5</w:t>
      </w:r>
      <w:r>
        <w:rPr>
          <w:rFonts w:cs="Calibri" w:cstheme="minorHAnsi"/>
          <w:lang w:val="en-US"/>
        </w:rPr>
        <w:t>°</w:t>
      </w:r>
      <w:r>
        <w:rPr>
          <w:lang w:val="en-US"/>
        </w:rPr>
        <w:t>, exposure 1 min)</w:t>
      </w:r>
    </w:p>
    <w:p>
      <w:pPr>
        <w:pStyle w:val="Normal"/>
        <w:rPr>
          <w:lang w:val="en-US"/>
        </w:rPr>
      </w:pPr>
      <w:r>
        <w:rPr>
          <w:lang w:val="en-US"/>
        </w:rPr>
        <w:t>completeness of dataset</w:t>
        <w:tab/>
        <w:t>COMPLETENESS%</w:t>
      </w:r>
    </w:p>
    <w:p>
      <w:pPr>
        <w:pStyle w:val="Normal"/>
        <w:rPr>
          <w:lang w:val="en-US"/>
        </w:rPr>
      </w:pPr>
      <w:r>
        <w:rPr>
          <w:rFonts w:cs="Calibri" w:cstheme="minorHAnsi"/>
        </w:rPr>
        <w:t>θ</w:t>
      </w:r>
      <w:r>
        <w:rPr>
          <w:lang w:val="en-US"/>
        </w:rPr>
        <w:t xml:space="preserve"> range of data collection (deg)</w:t>
        <w:tab/>
        <w:t>THETAMIN to THETAMAX</w:t>
      </w:r>
    </w:p>
    <w:p>
      <w:pPr>
        <w:pStyle w:val="Normal"/>
        <w:rPr>
          <w:lang w:val="en-US"/>
        </w:rPr>
      </w:pPr>
      <w:r>
        <w:rPr>
          <w:lang w:val="en-US"/>
        </w:rPr>
        <w:t>reflections collected</w:t>
        <w:tab/>
        <w:t>COLLRFL</w:t>
      </w:r>
    </w:p>
    <w:p>
      <w:pPr>
        <w:pStyle w:val="Normal"/>
        <w:rPr>
          <w:lang w:val="en-US"/>
        </w:rPr>
      </w:pPr>
      <w:r>
        <w:rPr>
          <w:lang w:val="en-US"/>
        </w:rPr>
        <w:t>independent reflections</w:t>
        <w:tab/>
        <w:t>UNIQUE</w:t>
      </w:r>
    </w:p>
    <w:p>
      <w:pPr>
        <w:pStyle w:val="Normal"/>
        <w:rPr>
          <w:lang w:val="en-US"/>
        </w:rPr>
      </w:pPr>
      <w:r>
        <w:rPr>
          <w:lang w:val="en-US"/>
        </w:rPr>
        <w:t>independent reflections with I&gt;2</w:t>
      </w:r>
      <w:r>
        <w:rPr>
          <w:rFonts w:cs="Calibri" w:cstheme="minorHAnsi"/>
        </w:rPr>
        <w:t>σ</w:t>
      </w:r>
      <w:r>
        <w:rPr>
          <w:lang w:val="en-US"/>
        </w:rPr>
        <w:t>(I)</w:t>
        <w:tab/>
        <w:t>UNIQUE2S</w:t>
      </w:r>
    </w:p>
    <w:p>
      <w:pPr>
        <w:pStyle w:val="Normal"/>
        <w:rPr>
          <w:lang w:val="en-US"/>
        </w:rPr>
      </w:pPr>
      <w:r>
        <w:rPr>
          <w:lang w:val="en-US"/>
        </w:rPr>
        <w:t>structure solution method</w:t>
        <w:tab/>
        <w:t>dual-space structure solution (SHELXT)</w:t>
      </w:r>
    </w:p>
    <w:p>
      <w:pPr>
        <w:pStyle w:val="Normal"/>
        <w:rPr>
          <w:lang w:val="en-US"/>
        </w:rPr>
      </w:pPr>
      <w:r>
        <w:rPr>
          <w:lang w:val="en-US"/>
        </w:rPr>
        <w:t>refinement method</w:t>
        <w:tab/>
        <w:tab/>
        <w:t>full-matrix least-squares on F2 (SHELXL 2016/4)</w:t>
      </w:r>
    </w:p>
    <w:p>
      <w:pPr>
        <w:pStyle w:val="Normal"/>
        <w:rPr>
          <w:lang w:val="en-US"/>
        </w:rPr>
      </w:pPr>
      <w:r>
        <w:rPr>
          <w:lang w:val="en-US"/>
        </w:rPr>
        <w:t>absorption correction method</w:t>
        <w:tab/>
        <w:t>ABSCORR</w:t>
      </w:r>
    </w:p>
    <w:p>
      <w:pPr>
        <w:pStyle w:val="Normal"/>
        <w:rPr>
          <w:lang w:val="en-US"/>
        </w:rPr>
      </w:pPr>
      <w:r>
        <w:rPr>
          <w:lang w:val="en-US"/>
        </w:rPr>
        <w:t>range of transmission factors</w:t>
        <w:tab/>
        <w:t>TMAX and TMIN</w:t>
      </w:r>
    </w:p>
    <w:p>
      <w:pPr>
        <w:pStyle w:val="Normal"/>
        <w:rPr>
          <w:lang w:val="en-US"/>
        </w:rPr>
      </w:pPr>
      <w:r>
        <w:rPr>
          <w:lang w:val="en-US"/>
        </w:rPr>
        <w:t>data / parameters / restraints</w:t>
        <w:tab/>
        <w:t>DATA / PARAM / RESTR</w:t>
      </w:r>
    </w:p>
    <w:p>
      <w:pPr>
        <w:pStyle w:val="Normal"/>
        <w:rPr>
          <w:lang w:val="en-US"/>
        </w:rPr>
      </w:pPr>
      <w:r>
        <w:rPr>
          <w:lang w:val="en-US"/>
        </w:rPr>
        <w:t>goodness of fit (GooF) [all data]</w:t>
        <w:tab/>
        <w:t>GOOF</w:t>
      </w:r>
    </w:p>
    <w:p>
      <w:pPr>
        <w:pStyle w:val="Normal"/>
        <w:rPr>
          <w:lang w:val="en-US"/>
        </w:rPr>
      </w:pPr>
      <w:r>
        <w:rPr>
          <w:lang w:val="en-US"/>
        </w:rPr>
        <w:t>final R values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R1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</w:t>
        <w:tab/>
        <w:t>R1ALL, R12SIG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wR2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(I)]]</w:t>
        <w:tab/>
        <w:t>WR2ALL, WR2SIG</w:t>
      </w:r>
    </w:p>
    <w:p>
      <w:pPr>
        <w:pStyle w:val="Normal"/>
        <w:rPr>
          <w:lang w:val="en-US"/>
        </w:rPr>
      </w:pPr>
      <w:r>
        <w:rPr>
          <w:lang w:val="en-US"/>
        </w:rPr>
        <w:t>largest difference peak and hole</w:t>
        <w:tab/>
        <w:t>HIGHPEAK and DEEPHOLE eÅ</w:t>
      </w:r>
      <w:bookmarkStart w:id="0" w:name="_GoBack"/>
      <w:bookmarkEnd w:id="0"/>
      <w:r>
        <w:rPr>
          <w:vertAlign w:val="superscript"/>
          <w:lang w:val="en-US"/>
        </w:rPr>
        <w:t>-3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Refinement special details:</w:t>
      </w:r>
    </w:p>
    <w:p>
      <w:pPr>
        <w:pStyle w:val="Normal"/>
        <w:spacing w:before="0" w:after="160"/>
        <w:rPr/>
      </w:pPr>
      <w:r>
        <w:rPr/>
        <w:t>SPECIAL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LibreOffice/5.4.1.2$Linux_X86_64 LibreOffice_project/40m0$Build-2</Application>
  <Pages>3</Pages>
  <Words>238</Words>
  <Characters>1342</Characters>
  <CharactersWithSpaces>1566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2017-11-08T14:06:00Z</dcterms:created>
  <dc:creator>Liebing</dc:creator>
  <dc:description/>
  <dc:language>de-DE</dc:language>
  <cp:lastModifiedBy/>
  <dcterms:modified xsi:type="dcterms:W3CDTF">2017-11-08T20:30:17Z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