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b/>
          <w:bCs/>
          <w:lang w:val="en-US"/>
        </w:rPr>
        <w:t>STRUCTURE REPORT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b/>
          <w:bCs/>
          <w:lang w:val="en-US"/>
        </w:rPr>
        <w:t>Crystallographer:</w:t>
      </w:r>
      <w:r>
        <w:rPr>
          <w:lang w:val="en-US"/>
        </w:rPr>
        <w:t xml:space="preserve"> </w:t>
        <w:tab/>
        <w:t>F. Engelhardt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b/>
          <w:bCs/>
          <w:lang w:val="en-US"/>
        </w:rPr>
        <w:t>ID code:</w:t>
      </w:r>
      <w:r>
        <w:rPr>
          <w:lang w:val="en-US"/>
        </w:rPr>
        <w:tab/>
        <w:t>IDCODE</w:t>
        <w:tab/>
        <w:tab/>
        <w:t>Date: 09.11.2017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b/>
          <w:bCs/>
          <w:lang w:val="en-US"/>
        </w:rPr>
        <w:t>Sample by:</w:t>
      </w:r>
      <w:r>
        <w:rPr>
          <w:lang w:val="en-US"/>
        </w:rPr>
        <w:tab/>
        <w:t>Julia Bastian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b/>
          <w:bCs/>
          <w:lang w:val="en-US"/>
        </w:rPr>
        <w:t>Compound:</w:t>
      </w:r>
      <w:r>
        <w:rPr>
          <w:lang w:val="en-US"/>
        </w:rPr>
        <w:tab/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b/>
          <w:bCs/>
          <w:lang w:val="en-US"/>
        </w:rPr>
        <w:t>Formula sum:</w:t>
      </w:r>
      <w:r>
        <w:rPr>
          <w:lang w:val="en-US"/>
        </w:rPr>
        <w:tab/>
      </w:r>
      <w:r>
        <w:rPr>
          <w:lang w:val="en-US"/>
        </w:rPr>
        <w:t>'C18 H54 Cl Ge N3 Si6'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b/>
          <w:bCs/>
          <w:lang w:val="en-US"/>
        </w:rPr>
        <w:t>Formula moieties:</w:t>
      </w:r>
      <w:r>
        <w:rPr>
          <w:lang w:val="en-US"/>
        </w:rPr>
        <w:tab/>
        <w:t>'C18 H54 Cl Ge N3 Si6'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PICTURE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b/>
          <w:bCs/>
          <w:lang w:val="en-US"/>
        </w:rPr>
        <w:t>Figure 1</w:t>
      </w:r>
      <w:r>
        <w:rPr>
          <w:lang w:val="en-US"/>
        </w:rPr>
        <w:t xml:space="preserve">. Molecular structure of the title compound in the crystalline state. Thermal ellipsoids of the heavier atoms with 50% probability, H atoms omitted for clarity. 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lang w:val="en-US"/>
        </w:rPr>
        <w:t> </w:t>
      </w:r>
      <w:r>
        <w:br w:type="page"/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b/>
          <w:b/>
          <w:bCs/>
          <w:lang w:val="en-US"/>
        </w:rPr>
      </w:pPr>
      <w:r>
        <w:rPr>
          <w:b/>
          <w:bCs/>
          <w:lang w:val="en-US"/>
        </w:rPr>
        <w:t>Crystallographic Data and Details on Structure Refinement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lang w:val="en-US"/>
        </w:rPr>
        <w:t>formula sum</w:t>
        <w:tab/>
        <w:tab/>
        <w:t>'C18 H54 Cl Ge N3 Si6'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lang w:val="en-US"/>
        </w:rPr>
        <w:t>formula weight</w:t>
        <w:tab/>
        <w:tab/>
        <w:t>589.22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crystal size (mm)</w:t>
        <w:tab/>
        <w:tab/>
        <w:t>0.14 x  x 0.25 mm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crystal system</w:t>
        <w:tab/>
        <w:tab/>
        <w:t>trigonal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lang w:val="en-US"/>
        </w:rPr>
        <w:t>space group</w:t>
        <w:tab/>
        <w:tab/>
        <w:t>SPGRP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unit cell parameters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lang w:val="en-US"/>
        </w:rPr>
        <w:tab/>
        <w:t>a (Å)</w:t>
        <w:tab/>
        <w:tab/>
        <w:t>17.798(7)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ab/>
        <w:t>b (Å)</w:t>
        <w:tab/>
        <w:tab/>
        <w:t>17.798(7)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ab/>
        <w:t>c (Å)</w:t>
        <w:tab/>
        <w:tab/>
        <w:t>16.815(9)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lang w:val="en-US"/>
        </w:rPr>
        <w:tab/>
      </w:r>
      <w:r>
        <w:rPr>
          <w:rFonts w:cs="Calibri" w:cstheme="minorHAnsi"/>
          <w:lang w:val="en-US"/>
        </w:rPr>
        <w:t>α</w:t>
      </w:r>
      <w:r>
        <w:rPr/>
        <w:t xml:space="preserve"> (deg)</w:t>
        <w:tab/>
        <w:tab/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/>
        <w:tab/>
      </w:r>
      <w:r>
        <w:rPr>
          <w:rFonts w:cs="Calibri" w:cstheme="minorHAnsi"/>
        </w:rPr>
        <w:t>β</w:t>
      </w:r>
      <w:r>
        <w:rPr/>
        <w:t xml:space="preserve"> (deg)</w:t>
        <w:tab/>
        <w:tab/>
        <w:t>90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/>
        <w:tab/>
      </w:r>
      <w:r>
        <w:rPr>
          <w:rFonts w:cs="Calibri" w:cstheme="minorHAnsi"/>
        </w:rPr>
        <w:t>γ</w:t>
      </w:r>
      <w:r>
        <w:rPr/>
        <w:t xml:space="preserve"> (deg)</w:t>
        <w:tab/>
        <w:tab/>
        <w:t>120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lang w:val="en-US"/>
        </w:rPr>
        <w:t>unit cell volume V (Å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  <w:tab/>
        <w:t>4613(4)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molecules per cell z</w:t>
        <w:tab/>
        <w:tab/>
        <w:t>6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lang w:val="en-US"/>
        </w:rPr>
        <w:t xml:space="preserve">crystallographic density </w:t>
      </w:r>
      <w:r>
        <w:rPr>
          <w:rFonts w:cs="Calibri" w:cstheme="minorHAnsi"/>
        </w:rPr>
        <w:t>μ</w:t>
      </w:r>
      <w:r>
        <w:rPr>
          <w:lang w:val="en-US"/>
        </w:rPr>
        <w:t xml:space="preserve"> calcd (g cm</w:t>
      </w:r>
      <w:r>
        <w:rPr>
          <w:vertAlign w:val="superscript"/>
          <w:lang w:val="en-US"/>
        </w:rPr>
        <w:t>-3</w:t>
      </w:r>
      <w:r>
        <w:rPr>
          <w:lang w:val="en-US"/>
        </w:rPr>
        <w:t>)</w:t>
        <w:tab/>
        <w:t>1.273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/>
        <w:t>absorption coefficient µ (mm</w:t>
      </w:r>
      <w:r>
        <w:rPr>
          <w:vertAlign w:val="superscript"/>
        </w:rPr>
        <w:t>-1</w:t>
      </w:r>
      <w:r>
        <w:rPr/>
        <w:t>)</w:t>
        <w:tab/>
        <w:t>1.329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/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diffractometer</w:t>
        <w:tab/>
        <w:tab/>
        <w:t>STOE IPDS 2T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>
          <w:lang w:val="en-US"/>
        </w:rPr>
        <w:t>radiation (</w:t>
      </w:r>
      <w:r>
        <w:rPr>
          <w:rFonts w:cs="Calibri" w:cstheme="minorHAnsi"/>
          <w:lang w:val="en-US"/>
        </w:rPr>
        <w:t>λ</w:t>
      </w:r>
      <w:r>
        <w:rPr>
          <w:lang w:val="en-US"/>
        </w:rPr>
        <w:t xml:space="preserve"> [Å])</w:t>
        <w:tab/>
        <w:tab/>
        <w:t>graphite-monochromated Mo-K</w:t>
      </w:r>
      <w:r>
        <w:rPr>
          <w:rFonts w:cs="Calibri" w:cstheme="minorHAnsi"/>
        </w:rPr>
        <w:t>α</w:t>
        <w:tab/>
        <w:tab/>
        <w:tab/>
        <w:tab/>
      </w:r>
      <w:r>
        <w:rPr>
          <w:lang w:val="en-US"/>
        </w:rPr>
        <w:t>(0.71073)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temperature (°C)</w:t>
        <w:tab/>
        <w:tab/>
        <w:t>-173.15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scan type</w:t>
        <w:tab/>
        <w:tab/>
      </w:r>
      <w:r>
        <w:rPr>
          <w:rFonts w:cs="Calibri" w:cstheme="minorHAnsi"/>
        </w:rPr>
        <w:t>ω</w:t>
      </w:r>
      <w:r>
        <w:rPr>
          <w:lang w:val="en-US"/>
        </w:rPr>
        <w:t xml:space="preserve"> scan (increment 1.5</w:t>
      </w:r>
      <w:r>
        <w:rPr>
          <w:rFonts w:cs="Calibri" w:cstheme="minorHAnsi"/>
          <w:lang w:val="en-US"/>
        </w:rPr>
        <w:t>°</w:t>
      </w:r>
      <w:r>
        <w:rPr>
          <w:lang w:val="en-US"/>
        </w:rPr>
        <w:t>, exposure 1 min)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completeness of dataset</w:t>
        <w:tab/>
        <w:t>0.998%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rFonts w:cs="Calibri" w:cstheme="minorHAnsi"/>
        </w:rPr>
        <w:t>θ</w:t>
      </w:r>
      <w:r>
        <w:rPr>
          <w:lang w:val="en-US"/>
        </w:rPr>
        <w:t xml:space="preserve"> range of data collection (deg)</w:t>
        <w:tab/>
        <w:t>2.289 to THETAMAX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reflections collected</w:t>
        <w:tab/>
        <w:t>9039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independent reflections</w:t>
        <w:tab/>
        <w:t>2744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independent reflections with I&gt;2</w:t>
      </w:r>
      <w:r>
        <w:rPr>
          <w:rFonts w:cs="Calibri" w:cstheme="minorHAnsi"/>
        </w:rPr>
        <w:t>σ</w:t>
      </w:r>
      <w:r>
        <w:rPr>
          <w:lang w:val="en-US"/>
        </w:rPr>
        <w:t>(I)</w:t>
        <w:tab/>
        <w:t>27442S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structure solution method</w:t>
        <w:tab/>
        <w:t>dual-space structure solution (SHELXT)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refinement method</w:t>
        <w:tab/>
        <w:tab/>
        <w:t>full-matrix least-squares on F2 (SHELXL 2016/4)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absorption correction method</w:t>
        <w:tab/>
        <w:t>numerical</w:t>
      </w:r>
    </w:p>
    <w:p>
      <w:pPr>
        <w:pStyle w:val="Normal"/>
        <w:tabs>
          <w:tab w:pos="567" w:val="left"/>
          <w:tab w:pos="567" w:val="left"/>
          <w:tab w:pos="2268" w:val="left"/>
          <w:tab w:pos="2268" w:val="left"/>
          <w:tab w:pos="4535" w:val="left"/>
          <w:tab w:pos="4535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range of transmission factors</w:t>
        <w:tab/>
        <w:t>TMAX and 0.6847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data / parameters / restraints</w:t>
        <w:tab/>
        <w:t>DATA / PARAM / 1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goodness of fit (GooF) [all data]</w:t>
        <w:tab/>
        <w:t>1.148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final R values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ab/>
        <w:t xml:space="preserve">R1 [all data, I </w:t>
      </w:r>
      <w:r>
        <w:rPr>
          <w:rFonts w:cs="Calibri" w:cstheme="minorHAnsi"/>
          <w:lang w:val="en-US"/>
        </w:rPr>
        <w:t>≥</w:t>
      </w:r>
      <w:r>
        <w:rPr>
          <w:lang w:val="en-US"/>
        </w:rPr>
        <w:t xml:space="preserve"> 2</w:t>
      </w:r>
      <w:r>
        <w:rPr>
          <w:rFonts w:cs="Calibri" w:cstheme="minorHAnsi"/>
        </w:rPr>
        <w:t>σ</w:t>
      </w:r>
      <w:r>
        <w:rPr>
          <w:lang w:val="en-US"/>
        </w:rPr>
        <w:t xml:space="preserve"> (I)]</w:t>
        <w:tab/>
        <w:t>R1ALL, 0.0238</w:t>
      </w:r>
    </w:p>
    <w:p>
      <w:pPr>
        <w:pStyle w:val="Normal"/>
        <w:tabs>
          <w:tab w:pos="567" w:val="left"/>
          <w:tab w:pos="2268" w:val="left"/>
          <w:tab w:pos="4535" w:val="left"/>
          <w:tab w:pos="6803" w:val="left"/>
        </w:tabs>
        <w:rPr>
          <w:lang w:val="en-US"/>
        </w:rPr>
      </w:pPr>
      <w:r>
        <w:rPr>
          <w:lang w:val="en-US"/>
        </w:rPr>
        <w:tab/>
        <w:t xml:space="preserve">wR2 [all data, I </w:t>
      </w:r>
      <w:r>
        <w:rPr>
          <w:rFonts w:cs="Calibri" w:cstheme="minorHAnsi"/>
          <w:lang w:val="en-US"/>
        </w:rPr>
        <w:t>≥</w:t>
      </w:r>
      <w:r>
        <w:rPr>
          <w:lang w:val="en-US"/>
        </w:rPr>
        <w:t xml:space="preserve"> 2</w:t>
      </w:r>
      <w:r>
        <w:rPr>
          <w:rFonts w:cs="Calibri" w:cstheme="minorHAnsi"/>
        </w:rPr>
        <w:t>σ</w:t>
      </w:r>
      <w:r>
        <w:rPr>
          <w:lang w:val="en-US"/>
        </w:rPr>
        <w:t xml:space="preserve"> (I)]]</w:t>
        <w:tab/>
        <w:t>WR2ALL, 0.0538</w:t>
      </w:r>
    </w:p>
    <w:p>
      <w:pPr>
        <w:pStyle w:val="Normal"/>
        <w:tabs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  <w:t>largest difference peak and hole</w:t>
        <w:tab/>
        <w:t>0.629 and DEEPHOLE eÅ</w:t>
      </w:r>
      <w:bookmarkStart w:id="0" w:name="_GoBack"/>
      <w:bookmarkEnd w:id="0"/>
      <w:r>
        <w:rPr>
          <w:vertAlign w:val="superscript"/>
          <w:lang w:val="en-US"/>
        </w:rPr>
        <w:t>-3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rPr/>
      </w:pPr>
      <w:r>
        <w:rPr/>
        <w:t>Refinement special details:</w:t>
      </w:r>
    </w:p>
    <w:p>
      <w:pPr>
        <w:pStyle w:val="Normal"/>
        <w:tabs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567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2268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4535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  <w:tab w:pos="6803" w:val="left"/>
        </w:tabs>
        <w:spacing w:before="0" w:after="160"/>
        <w:rPr/>
      </w:pPr>
      <w:r>
        <w:rPr/>
        <w:t>none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LibreOffice/5.4.1.2$Linux_X86_64 LibreOffice_project/40m0$Build-2</Application>
  <Pages>3</Pages>
  <Words>238</Words>
  <Characters>1342</Characters>
  <CharactersWithSpaces>1566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2017-11-08T14:06:00Z</dcterms:created>
  <dc:creator>Liebing</dc:creator>
  <dc:description/>
  <dc:language>de-DE</dc:language>
  <cp:lastModifiedBy/>
  <dcterms:modified xsi:type="dcterms:W3CDTF">2017-11-08T20:30:17Z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