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4.png" ContentType="image/png"/>
  <Override PartName="/word/media/rId39.png" ContentType="image/png"/>
  <Override PartName="/word/media/rId44.png" ContentType="image/png"/>
  <Override PartName="/word/media/rId35.png" ContentType="image/png"/>
  <Override PartName="/word/media/rId4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 de Desigualdades Remuneratórias no Executivo Civil Federal</w:t>
      </w:r>
    </w:p>
    <w:p>
      <w:pPr>
        <w:pStyle w:val="Author"/>
      </w:pPr>
      <w:r>
        <w:t xml:space="preserve">Felix G. Lopez</w:t>
      </w:r>
    </w:p>
    <w:p>
      <w:pPr>
        <w:pStyle w:val="Date"/>
      </w:pPr>
      <w:r>
        <w:t xml:space="preserve">2026-04-20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ção"/>
    <w:p>
      <w:pPr>
        <w:pStyle w:val="Heading1"/>
      </w:pPr>
      <w:r>
        <w:t xml:space="preserve">1. Introdução</w:t>
      </w:r>
    </w:p>
    <w:p>
      <w:pPr>
        <w:pStyle w:val="FirstParagraph"/>
      </w:pPr>
      <w:r>
        <w:t xml:space="preserve">Esta seção apresenta uma análise exploratória das desigualdades remuneratórias no Executivo Civil Federal brasileiro de 2022 e 2025, com foco na distribuição de rendimentos dentro de grupos ocupacionais classificados segundo a tipologia</w:t>
      </w:r>
      <w:r>
        <w:t xml:space="preserve"> </w:t>
      </w:r>
      <w:r>
        <w:rPr>
          <w:rStyle w:val="VerbatimChar"/>
        </w:rPr>
        <w:t xml:space="preserve">classificacao_ipea2026</w:t>
      </w:r>
      <w:r>
        <w:t xml:space="preserve">.</w:t>
      </w:r>
    </w:p>
    <w:p>
      <w:pPr>
        <w:pStyle w:val="BodyText"/>
      </w:pPr>
      <w:r>
        <w:t xml:space="preserve">As medidas centrais, nesta seção, são os</w:t>
      </w:r>
      <w:r>
        <w:t xml:space="preserve"> </w:t>
      </w:r>
      <w:r>
        <w:rPr>
          <w:b/>
          <w:bCs/>
        </w:rPr>
        <w:t xml:space="preserve">coeficientes de Gini</w:t>
      </w:r>
      <w:r>
        <w:t xml:space="preserve">, indicador clássico de desigualdade distributiva, no qual valores mais próximos de zero indicam maior igualdade e valores mais elevados sugerem maior concentração interna dos rendimentos. Adota-se também estatísticas básicas, tais como intervaloes interquartis, médias e medianas.</w:t>
      </w:r>
    </w:p>
    <w:bookmarkEnd w:id="20"/>
    <w:bookmarkStart w:id="21" w:name="leitura-da-base"/>
    <w:p>
      <w:pPr>
        <w:pStyle w:val="Heading1"/>
      </w:pPr>
      <w:r>
        <w:t xml:space="preserve">2. Leitura da base</w:t>
      </w:r>
    </w:p>
    <w:bookmarkEnd w:id="21"/>
    <w:bookmarkStart w:id="24" w:name="diagnóstico-dos-nomes-das-colunas"/>
    <w:p>
      <w:pPr>
        <w:pStyle w:val="Heading1"/>
      </w:pPr>
      <w:r>
        <w:t xml:space="preserve">3. Diagnóstico dos nomes das colunas</w:t>
      </w:r>
    </w:p>
    <w:bookmarkStart w:id="22" w:name="nomes-originais"/>
    <w:p>
      <w:pPr>
        <w:pStyle w:val="Heading2"/>
      </w:pPr>
      <w:r>
        <w:t xml:space="preserve">Nomes originais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colunas_originais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grafico_gêni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classificacao_ipea2026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coeficiênte_gêni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qtde_cargos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maximo_vr_liquido</w:t>
            </w:r>
          </w:p>
        </w:tc>
      </w:tr>
    </w:tbl>
    <w:bookmarkEnd w:id="22"/>
    <w:bookmarkStart w:id="23" w:name="nomes-após-padronização-com-clean_names"/>
    <w:p>
      <w:pPr>
        <w:pStyle w:val="Heading2"/>
      </w:pPr>
      <w:r>
        <w:t xml:space="preserve">Nomes após padronização com</w:t>
      </w:r>
      <w:r>
        <w:t xml:space="preserve"> </w:t>
      </w:r>
      <w:r>
        <w:rPr>
          <w:rStyle w:val="VerbatimChar"/>
        </w:rPr>
        <w:t xml:space="preserve">clean_names()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colunas_limpas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grafico_geni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classificacao_ipea2026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qtde_cargos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maximo_vr_liquido</w:t>
            </w:r>
          </w:p>
        </w:tc>
      </w:tr>
    </w:tbl>
    <w:bookmarkEnd w:id="23"/>
    <w:bookmarkEnd w:id="24"/>
    <w:bookmarkStart w:id="26" w:name="checagem-automática-das-colunas"/>
    <w:p>
      <w:pPr>
        <w:pStyle w:val="Heading1"/>
      </w:pPr>
      <w:r>
        <w:t xml:space="preserve">4. Checagem automática das colunas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variavel_analitica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coluna_encontrada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classificacao_ipea2026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qtde_cargos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qtde_cargos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media_vr_rendim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perc25_vr_rendim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perc25_vr_rendim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perc50_vr_rendim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perc50_vr_rendim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perc75_vr_rendim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perc75_vr_rendim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maximo_vr_rendim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maximo_vr_rendim</w:t>
            </w:r>
          </w:p>
        </w:tc>
      </w:tr>
    </w:tbl>
    <w:bookmarkStart w:id="25" w:name="colunas-ausentes"/>
    <w:p>
      <w:pPr>
        <w:pStyle w:val="Heading2"/>
      </w:pPr>
      <w:r>
        <w:t xml:space="preserve">Colunas ausentes</w:t>
      </w:r>
    </w:p>
    <w:p>
      <w:pPr>
        <w:pStyle w:val="SourceCode"/>
      </w:pPr>
      <w:r>
        <w:rPr>
          <w:rStyle w:val="VerbatimChar"/>
        </w:rPr>
        <w:t xml:space="preserve">## Todas as colunas essenciais foram localizadas com sucesso.</w:t>
      </w:r>
    </w:p>
    <w:bookmarkEnd w:id="25"/>
    <w:bookmarkEnd w:id="26"/>
    <w:bookmarkStart w:id="27" w:name="Xef74f15a5347676f9c2da756ec1b82c40b37d97"/>
    <w:p>
      <w:pPr>
        <w:pStyle w:val="Heading1"/>
      </w:pPr>
      <w:r>
        <w:t xml:space="preserve">5. Padronização interna dos nomes analíticos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colunas_finais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grafico_geni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vinculos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qtde_cargos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maximo_vr_rendim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maximo_vr_remun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perc75_vr_liquido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maximo_vr_liquido</w:t>
            </w:r>
          </w:p>
        </w:tc>
      </w:tr>
    </w:tbl>
    <w:bookmarkEnd w:id="27"/>
    <w:bookmarkStart w:id="28" w:name="estrutura-geral-da-base"/>
    <w:p>
      <w:pPr>
        <w:pStyle w:val="Heading1"/>
      </w:pPr>
      <w:r>
        <w:t xml:space="preserve">6. Estrutura geral da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Observacoes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Variaveis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Grupos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</w:tbl>
    <w:bookmarkEnd w:id="28"/>
    <w:bookmarkStart w:id="29" w:name="diagnóstico-de-completude"/>
    <w:p>
      <w:pPr>
        <w:pStyle w:val="Heading1"/>
      </w:pPr>
      <w:r>
        <w:t xml:space="preserve">7. Diagnóstico de completude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stddev_vr_remun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stddev_vr_liquido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grafico_geni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vinculos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qtde_cargos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media_vr_remun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minimo_vr_remun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perc25_vr_remun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perc50_vr_remun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perc75_vr_remun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maximo_vr_remun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media_vr_liquido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minimo_vr_liquido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perc25_vr_liquido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perc50_vr_liquido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perc75_vr_liquido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maximo_vr_liquido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29"/>
    <w:bookmarkStart w:id="30" w:name="indicadores-derivados"/>
    <w:p>
      <w:pPr>
        <w:pStyle w:val="Heading1"/>
      </w:pPr>
      <w:r>
        <w:t xml:space="preserve">8. Indicadores derivados</w:t>
      </w:r>
    </w:p>
    <w:p>
      <w:pPr>
        <w:pStyle w:val="SourceCode"/>
      </w:pPr>
      <w:r>
        <w:rPr>
          <w:rStyle w:val="VerbatimChar"/>
        </w:rPr>
        <w:t xml:space="preserve">## Indicadores derivados criados com sucesso.</w:t>
      </w:r>
    </w:p>
    <w:bookmarkEnd w:id="30"/>
    <w:bookmarkStart w:id="34" w:name="total-de-vínculos-por-grupo"/>
    <w:p>
      <w:pPr>
        <w:pStyle w:val="Heading1"/>
      </w:pPr>
      <w:r>
        <w:t xml:space="preserve">9. Total de vínculos por grupo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iape_gini_files/figure-docx/vinculos_202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evolução-agregada-da-desigualdade"/>
    <w:p>
      <w:pPr>
        <w:pStyle w:val="Heading1"/>
      </w:pPr>
      <w:r>
        <w:t xml:space="preserve">9. Evolução agregada da desigualdade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gini_medio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0.2285714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0.2223810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0.2276190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0.2266667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iape_gini_files/figure-docx/grafico-gini-ano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3" w:name="desigualdade-por-grupos-ocupacionais"/>
    <w:p>
      <w:pPr>
        <w:pStyle w:val="Heading1"/>
      </w:pPr>
      <w:r>
        <w:t xml:space="preserve">10. Desigualdade por grupos ocupacionais</w:t>
      </w:r>
    </w:p>
    <w:bookmarkStart w:id="42" w:name="gini-em-2025"/>
    <w:p>
      <w:pPr>
        <w:pStyle w:val="Heading2"/>
      </w:pPr>
      <w:r>
        <w:t xml:space="preserve">Gini em 2025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Diplomacia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 da Informação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Agricultura, Agropecuária e Meio Ambiênte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Apoio e Manutênção Técnicos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Ciência e Tecnologia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Educação e Cultura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Regulação Econômica e Infraestrutura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Pública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de Inteligência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Obsoletos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Agêntes Políticos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Economia e Finanças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Fiscalização e Contãole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e Políticas Públicas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Serviços Auxiliares e Serviçagem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de Trabalho, Previdência e Assistência Sociais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Jurídicas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Altos Dirigêntes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iape_gini_files/figure-docx/grafico-2025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Start w:id="47" w:name="comparação-entre-2022-e-2025"/>
    <w:p>
      <w:pPr>
        <w:pStyle w:val="Heading1"/>
      </w:pPr>
      <w:r>
        <w:t xml:space="preserve">11. Comparação entre 2022 e 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69"/>
        <w:gridCol w:w="784"/>
        <w:gridCol w:w="784"/>
        <w:gridCol w:w="784"/>
        <w:gridCol w:w="10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gini_2022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gini_2025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diferenca_pct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Economia e Finanças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23.076923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Apoio e Manutênção Técnicos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7.692308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Ciência e Tecnologia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 da Informação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6.451613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e Políticas Públicas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22.222222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Agêntes Políticos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14.285714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Jurídicas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16.666667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2.941177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Agricultura, Agropecuária e Meio Ambiênte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Altos Dirigêntes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de Inteligência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Educação e Cultura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Fiscalização e Contãole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Serviços Auxiliares e Serviçagem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Regulação Econômica e Infraestrutura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-3.846154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-9.523810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Diplomacia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-2.666667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Pública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-8.695652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de Trabalho, Previdência e Assistência Sociais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-27.272727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Obsoletos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-30.769231</w:t>
            </w:r>
          </w:p>
        </w:tc>
      </w:tr>
    </w:tbl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iape_gini_files/figure-docx/grafico-comp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comparação-excluindo-altos-dirigentes"/>
    <w:p>
      <w:pPr>
        <w:pStyle w:val="Heading1"/>
      </w:pPr>
      <w:r>
        <w:t xml:space="preserve">12. Comparação excluindo Altos Dirigentes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siape_gini_files/figure-docx/sem-altos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2" w:name="a.-tabela-com-intervalos-interquartis"/>
    <w:p>
      <w:pPr>
        <w:pStyle w:val="Heading1"/>
      </w:pPr>
      <w:r>
        <w:t xml:space="preserve">12A. Tabela com intervalos interquartis</w:t>
      </w:r>
    </w:p>
    <w:p>
      <w:pPr>
        <w:pStyle w:val="TableCaption"/>
      </w:pPr>
      <w:r>
        <w:t xml:space="preserve">Distância remuneratória entre quartis por grupo ocupacional (2025)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Distância remuneratória entre quartis por grupo ocupacional (2025)"/>
      </w:tblPr>
      <w:tblGrid>
        <w:gridCol w:w="3271"/>
        <w:gridCol w:w="975"/>
        <w:gridCol w:w="975"/>
        <w:gridCol w:w="1090"/>
        <w:gridCol w:w="860"/>
        <w:gridCol w:w="7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1º Quartil (P25)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3º Quartil (P75)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Diferença Absoluta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Razão P75/P25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Diferença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Diplomacia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R$ 13.802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R$ 14.058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R$ 7.893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Ciência e Tecnologia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R$ 20.549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R$ 44.197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R$ 23.648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Agricultura, Agropecuária e Meio Ambiênte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R$ 7.286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111,6%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R$ 12.770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R$ 6.309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Regulação Econômica e Infraestrutura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R$ 22.301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R$ 10.788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93,7%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 da Informação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R$ 6.457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Educação e Cultura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R$ 12.006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R$ 21.498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R$ 9.492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Apoio e Manutênção Técnicos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R$ 3.834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Obsoletos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Pública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R$ 22.472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R$ 7.242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R$ 5.106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Fiscalização e Contãole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R$ 27.874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R$ 39.673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R$ 11.799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de Inteligência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R$ 27.075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Agêntes Políticos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Economia e Finanças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R$ 27.911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R$ 35.292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R$ 7.381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Serviços Auxiliares e Serviçagem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de Trabalho, Previdência e Assistência Sociais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R$ 2.007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Jurídicas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R$ 33.727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e Políticas Públicas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R$ 32.249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R$ 1.416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Altos Dirigêntes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R$ 19.310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R$ 19.310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0,0%</w:t>
            </w:r>
          </w:p>
        </w:tc>
      </w:tr>
    </w:tbl>
    <w:bookmarkEnd w:id="52"/>
    <w:bookmarkStart w:id="53" w:name="X282813791766152daa8d2073a7d4f8dbc68bdbd"/>
    <w:p>
      <w:pPr>
        <w:pStyle w:val="Heading1"/>
      </w:pPr>
      <w:r>
        <w:t xml:space="preserve">12B Grafico com intervalo interquartil (miolo) e base e topo</w:t>
      </w:r>
    </w:p>
    <w:p>
      <w:pPr>
        <w:pStyle w:val="TableCaption"/>
      </w:pPr>
      <w:r>
        <w:t xml:space="preserve">Indicadores comparados de desigualdade remuneratória por grupo ocupacional (2025)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Indicadores comparados de desigualdade remuneratória por grupo ocupacional (2025)"/>
      </w:tblPr>
      <w:tblGrid>
        <w:gridCol w:w="2839"/>
        <w:gridCol w:w="298"/>
        <w:gridCol w:w="498"/>
        <w:gridCol w:w="697"/>
        <w:gridCol w:w="498"/>
        <w:gridCol w:w="547"/>
        <w:gridCol w:w="448"/>
        <w:gridCol w:w="448"/>
        <w:gridCol w:w="448"/>
        <w:gridCol w:w="597"/>
        <w:gridCol w:w="5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 (Mediana)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Máximo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P75/P25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Máx/P25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Máx/P50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P75-P25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 Máx-P25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Diplomacia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R$ 60.774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R$ 60.774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Administrativos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R$ 8.693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R$ 12.770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R$ 247.395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R$ 240.934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Apoio e Manutênção Técnicos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R$ 166.866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R$ 3.834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R$ 161.958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R$ 14.058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R$ 103.365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R$ 97.200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Ciência e Tecnologia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R$ 20.549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R$ 24.499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R$ 44.197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R$ 286.739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R$ 23.648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R$ 266.190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Tecnologia da Informação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R$ 10.302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R$ 93.104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R$ 86.096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Obsoletos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R$ 39.427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R$ 34.706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Regulação Econômica e Infraestrutura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R$ 11.513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R$ 16.062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R$ 22.301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R$ 92.941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R$ 10.788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R$ 81.428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Agricultura, Agropecuária e Meio Ambiênte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R$ 8.368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R$ 52.687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R$ 46.156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Agêntes Políticos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R$ 10.684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R$ 83.088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R$ 72.404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Educação e Cultura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R$ 12.006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R$ 21.498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R$ 86.327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R$ 9.492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R$ 74.321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Pública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R$ 15.230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R$ 19.418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R$ 22.472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R$ 87.808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R$ 72.578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R$ 16.475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R$ 56.122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R$ 5.106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R$ 44.753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Jurídicas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R$ 30.889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R$ 31.050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R$ 33.727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R$ 134.906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R$ 104.017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Serviços Auxiliares e Serviçagem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R$ 5.968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R$ 22.754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R$ 1.120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R$ 17.237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Fiscalização e Contãole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R$ 27.874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R$ 37.904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R$ 39.673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R$ 102.213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R$ 11.799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R$ 74.339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Carreiras de Inteligência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R$ 20.130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R$ 24.031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R$ 27.075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R$ 67.415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R$ 6.945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R$ 47.285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e Políticas Públicas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R$ 30.978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R$ 32.249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R$ 87.665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R$ 56.832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de Trabalho, Previdência e Assistência Sociais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R$ 13.910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R$ 15.265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R$ 15.917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R$ 39.147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R$ 25.237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Economia e Finanças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R$ 27.911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R$ 31.020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R$ 35.292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R$ 75.611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R$ 7.381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R$ 47.700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Altos Dirigêntes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R$ 19.310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R$ 19.310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R$ 19.310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R$ 19.310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R$ 0</w:t>
            </w:r>
          </w:p>
        </w:tc>
      </w:tr>
    </w:tbl>
    <w:bookmarkEnd w:id="53"/>
    <w:bookmarkStart w:id="57" w:name="rendimento-médio-e-desigualdade"/>
    <w:p>
      <w:pPr>
        <w:pStyle w:val="Heading1"/>
      </w:pPr>
      <w:r>
        <w:t xml:space="preserve">13. Rendimento médio e desigualdade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iape_gini_files/figure-docx/dispersao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modelo-estatístico-exploratório"/>
    <w:p>
      <w:pPr>
        <w:pStyle w:val="Heading1"/>
      </w:pPr>
      <w:r>
        <w:t xml:space="preserve">14. Modelo estatístico exploratório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0.3201002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0.0447820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7.1479629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media_vr_rendim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-0.0000073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-3.8656250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1.7783840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0.0792882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qtde_cargos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-0.2398823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0.8110589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factor(ano)2023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-0.0739707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0.9412255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factor(ano)2024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0.0133060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0.3015310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0.7638225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factor(ano)2025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0.3675493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0.7142176</w:t>
            </w:r>
          </w:p>
        </w:tc>
      </w:tr>
    </w:tbl>
    <w:bookmarkEnd w:id="58"/>
    <w:bookmarkStart w:id="59" w:name="principais-achados"/>
    <w:p>
      <w:pPr>
        <w:pStyle w:val="Heading1"/>
      </w:pPr>
      <w:r>
        <w:t xml:space="preserve">15. Principais achados</w:t>
      </w:r>
    </w:p>
    <w:p>
      <w:pPr>
        <w:pStyle w:val="SourceCode"/>
      </w:pPr>
      <w:r>
        <w:rPr>
          <w:rStyle w:val="VerbatimChar"/>
        </w:rPr>
        <w:t xml:space="preserve">## Entre 2022 e 2025, o coeficiente médio de Gini variou de 0,229 para 0,227.</w:t>
      </w:r>
    </w:p>
    <w:p>
      <w:pPr>
        <w:pStyle w:val="FirstParagraph"/>
      </w:pPr>
      <w:r>
        <w:t xml:space="preserve">Os resultados sugerem heterogeneidade relevante entre grupos ocupacionais. Alguns segmentos concentram rendimentos em grau superior aos demais, e a desigualdade interna não coincide necessariamente com maiores médias salariais. Em conjunto, os dados sugerem que a estrutura remuneratória estatal combina regras padronizadas com bolsões de forte dispersão interna.</w:t>
      </w:r>
    </w:p>
    <w:bookmarkEnd w:id="59"/>
    <w:bookmarkStart w:id="60" w:name="conclusão"/>
    <w:p>
      <w:pPr>
        <w:pStyle w:val="Heading1"/>
      </w:pPr>
      <w:r>
        <w:t xml:space="preserve">16. Conclusão</w:t>
      </w:r>
    </w:p>
    <w:p>
      <w:pPr>
        <w:pStyle w:val="FirstParagraph"/>
      </w:pPr>
      <w:r>
        <w:t xml:space="preserve">A desigualdade no setor público federal não ocorre apenas entre carreiras, mas também dentro delas. O monitoramento sistemático do coeficiente de Gini por grupos ocupacionais permite identificar distorções distributivas, mudanças institucionais e trajetórias diferenciadas entre segmentos da burocracia estatal.</w:t>
      </w:r>
    </w:p>
    <w:p>
      <w:pPr>
        <w:pStyle w:val="BodyText"/>
      </w:pPr>
      <w:r>
        <w:t xml:space="preserve">Esse tipo de evidência pode subsidiar debates sobre desenho de carreiras, política remuneratória, incentivos e racionalização administrativa.</w:t>
      </w:r>
    </w:p>
    <w:bookmarkEnd w:id="60"/>
    <w:bookmarkStart w:id="61" w:name="exportação-opcional"/>
    <w:p>
      <w:pPr>
        <w:pStyle w:val="Heading1"/>
      </w:pPr>
      <w:r>
        <w:t xml:space="preserve">17. Exportação opcional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4" Target="media/rId5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35" Target="media/rId35.png" /><Relationship Type="http://schemas.openxmlformats.org/officeDocument/2006/relationships/image" Id="rId48" Target="media/rId4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Desigualdades Remuneratórias no Executivo Civil Federal</dc:title>
  <dc:creator>Felix G. Lopez</dc:creator>
  <dc:language>pt-BR</dc:language>
  <cp:keywords/>
  <dcterms:created xsi:type="dcterms:W3CDTF">2026-04-21T02:08:25Z</dcterms:created>
  <dcterms:modified xsi:type="dcterms:W3CDTF">2026-04-21T02:08:25Z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2026-04-20</vt:lpwstr>
  </property>
  <property fmtid="{D5CDD505-2E9C-101B-9397-08002B2CF9AE}" pid="3" name="fontsize">
    <vt:lpwstr>10pt</vt:lpwstr>
  </property>
  <property fmtid="{D5CDD505-2E9C-101B-9397-08002B2CF9AE}" pid="4" name="output">
    <vt:lpwstr/>
  </property>
</Properties>
</file>