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200" w:lineRule="auto"/>
        <w:jc w:val="center"/>
        <w:rPr/>
      </w:pPr>
      <w:r w:rsidDel="00000000" w:rsidR="00000000" w:rsidRPr="00000000">
        <w:rPr>
          <w:rFonts w:ascii="Calibri" w:cs="Calibri" w:eastAsia="Calibri" w:hAnsi="Calibri"/>
          <w:b w:val="1"/>
          <w:bCs w:val="1"/>
          <w:sz w:val="44"/>
          <w:szCs w:val="44"/>
          <w:rtl w:val="0"/>
        </w:rPr>
        <w:t xml:space="preserve">Systematic Evaluation of ICT Liquidity-Sweep Strategies on Nasdaq Futures</w:t>
      </w:r>
      <w:r w:rsidDel="00000000" w:rsidR="00000000" w:rsidRPr="00000000">
        <w:rPr>
          <w:rtl w:val="0"/>
        </w:rPr>
      </w:r>
    </w:p>
    <w:p w:rsidR="00000000" w:rsidDel="00000000" w:rsidP="00000000" w:rsidRDefault="00000000" w:rsidRPr="00000000" w14:paraId="00000002">
      <w:pPr>
        <w:spacing w:after="300" w:lineRule="auto"/>
        <w:jc w:val="center"/>
        <w:rPr/>
      </w:pPr>
      <w:r w:rsidDel="00000000" w:rsidR="00000000" w:rsidRPr="00000000">
        <w:rPr>
          <w:rFonts w:ascii="Calibri" w:cs="Calibri" w:eastAsia="Calibri" w:hAnsi="Calibri"/>
          <w:i w:val="1"/>
          <w:iCs w:val="1"/>
          <w:color w:val="666666"/>
          <w:sz w:val="26"/>
          <w:szCs w:val="26"/>
          <w:rtl w:val="0"/>
        </w:rPr>
        <w:t xml:space="preserve">An 11-Year Walk-Forward Study with a Rigorous Negative Result</w:t>
      </w:r>
      <w:r w:rsidDel="00000000" w:rsidR="00000000" w:rsidRPr="00000000">
        <w:rPr>
          <w:rtl w:val="0"/>
        </w:rPr>
      </w:r>
    </w:p>
    <w:p w:rsidR="00000000" w:rsidDel="00000000" w:rsidP="00000000" w:rsidRDefault="00000000" w:rsidRPr="00000000" w14:paraId="00000003">
      <w:pPr>
        <w:spacing w:after="160" w:before="0" w:lineRule="auto"/>
        <w:jc w:val="center"/>
        <w:rPr/>
      </w:pPr>
      <w:r w:rsidDel="00000000" w:rsidR="00000000" w:rsidRPr="00000000">
        <w:rPr>
          <w:rFonts w:ascii="Calibri" w:cs="Calibri" w:eastAsia="Calibri" w:hAnsi="Calibri"/>
          <w:color w:val="666666"/>
          <w:sz w:val="22"/>
          <w:szCs w:val="22"/>
          <w:rtl w:val="0"/>
        </w:rPr>
        <w:t xml:space="preserve">Felix Liu  ·  July 2026</w:t>
      </w:r>
      <w:r w:rsidDel="00000000" w:rsidR="00000000" w:rsidRPr="00000000">
        <w:rPr>
          <w:rtl w:val="0"/>
        </w:rPr>
      </w:r>
    </w:p>
    <w:p w:rsidR="00000000" w:rsidDel="00000000" w:rsidP="00000000" w:rsidRDefault="00000000" w:rsidRPr="00000000" w14:paraId="00000004">
      <w:pPr>
        <w:spacing w:after="400" w:before="0" w:lineRule="auto"/>
        <w:jc w:val="center"/>
        <w:rPr/>
      </w:pPr>
      <w:r w:rsidDel="00000000" w:rsidR="00000000" w:rsidRPr="00000000">
        <w:rPr>
          <w:rFonts w:ascii="Calibri" w:cs="Calibri" w:eastAsia="Calibri" w:hAnsi="Calibri"/>
          <w:color w:val="666666"/>
          <w:sz w:val="18"/>
          <w:szCs w:val="18"/>
          <w:rtl w:val="0"/>
        </w:rPr>
        <w:t xml:space="preserve">Instruments: NQ / MNQ (CME E-mini &amp; Micro Nasdaq-100), ES  ·  Data: 3.79M one-minute bars, 2015</w:t>
      </w:r>
      <w:r w:rsidDel="00000000" w:rsidR="00000000" w:rsidRPr="00000000">
        <w:rPr>
          <w:color w:val="666666"/>
          <w:sz w:val="18"/>
          <w:szCs w:val="18"/>
          <w:rtl w:val="0"/>
        </w:rPr>
        <w:t xml:space="preserve">-</w:t>
      </w:r>
      <w:r w:rsidDel="00000000" w:rsidR="00000000" w:rsidRPr="00000000">
        <w:rPr>
          <w:rFonts w:ascii="Calibri" w:cs="Calibri" w:eastAsia="Calibri" w:hAnsi="Calibri"/>
          <w:color w:val="666666"/>
          <w:sz w:val="18"/>
          <w:szCs w:val="18"/>
          <w:rtl w:val="0"/>
        </w:rPr>
        <w:t xml:space="preserve">2026 (Databento GLBX.MDP3)</w:t>
      </w:r>
      <w:r w:rsidDel="00000000" w:rsidR="00000000" w:rsidRPr="00000000">
        <w:rPr>
          <w:rtl w:val="0"/>
        </w:rPr>
      </w:r>
    </w:p>
    <w:p w:rsidR="00000000" w:rsidDel="00000000" w:rsidP="00000000" w:rsidRDefault="00000000" w:rsidRPr="00000000" w14:paraId="00000005">
      <w:pPr>
        <w:pStyle w:val="Heading1"/>
        <w:spacing w:after="160" w:before="320" w:lineRule="auto"/>
        <w:rPr>
          <w:color w:val="000000"/>
        </w:rPr>
      </w:pPr>
      <w:r w:rsidDel="00000000" w:rsidR="00000000" w:rsidRPr="00000000">
        <w:rPr>
          <w:rFonts w:ascii="Calibri" w:cs="Calibri" w:eastAsia="Calibri" w:hAnsi="Calibri"/>
          <w:b w:val="1"/>
          <w:bCs w:val="1"/>
          <w:color w:val="000000"/>
          <w:sz w:val="30"/>
          <w:szCs w:val="30"/>
          <w:rtl w:val="0"/>
        </w:rPr>
        <w:t xml:space="preserve">Abstract</w:t>
      </w:r>
      <w:r w:rsidDel="00000000" w:rsidR="00000000" w:rsidRPr="00000000">
        <w:rPr>
          <w:rtl w:val="0"/>
        </w:rPr>
      </w:r>
    </w:p>
    <w:p w:rsidR="00000000" w:rsidDel="00000000" w:rsidP="00000000" w:rsidRDefault="00000000" w:rsidRPr="00000000" w14:paraId="00000006">
      <w:pPr>
        <w:spacing w:after="160" w:before="0" w:lineRule="auto"/>
        <w:rPr/>
      </w:pPr>
      <w:r w:rsidDel="00000000" w:rsidR="00000000" w:rsidRPr="00000000">
        <w:rPr>
          <w:rFonts w:ascii="Calibri" w:cs="Calibri" w:eastAsia="Calibri" w:hAnsi="Calibri"/>
          <w:sz w:val="21"/>
          <w:szCs w:val="21"/>
          <w:rtl w:val="0"/>
        </w:rPr>
        <w:t xml:space="preserve">This project tested whether "Smart Money Concepts" (ICT) </w:t>
      </w:r>
      <w:r w:rsidDel="00000000" w:rsidR="00000000" w:rsidRPr="00000000">
        <w:rPr>
          <w:rtl w:val="0"/>
        </w:rPr>
        <w:t xml:space="preserve">- </w:t>
      </w:r>
      <w:r w:rsidDel="00000000" w:rsidR="00000000" w:rsidRPr="00000000">
        <w:rPr>
          <w:rFonts w:ascii="Calibri" w:cs="Calibri" w:eastAsia="Calibri" w:hAnsi="Calibri"/>
          <w:sz w:val="21"/>
          <w:szCs w:val="21"/>
          <w:rtl w:val="0"/>
        </w:rPr>
        <w:t xml:space="preserve">liquidity sweeps, market-structure breaks, fair value gaps, order blocks, and higher-timeframe bias </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 can be converted into a profitable automated trading system on Nasdaq-100 futures. Over 17 research phases, </w:t>
      </w:r>
      <w:r w:rsidDel="00000000" w:rsidR="00000000" w:rsidRPr="00000000">
        <w:rPr>
          <w:rtl w:val="0"/>
        </w:rPr>
        <w:t xml:space="preserve">this project</w:t>
      </w:r>
      <w:r w:rsidDel="00000000" w:rsidR="00000000" w:rsidRPr="00000000">
        <w:rPr>
          <w:rFonts w:ascii="Calibri" w:cs="Calibri" w:eastAsia="Calibri" w:hAnsi="Calibri"/>
          <w:sz w:val="21"/>
          <w:szCs w:val="21"/>
          <w:rtl w:val="0"/>
        </w:rPr>
        <w:t xml:space="preserve"> atte</w:t>
      </w:r>
      <w:r w:rsidDel="00000000" w:rsidR="00000000" w:rsidRPr="00000000">
        <w:rPr>
          <w:rtl w:val="0"/>
        </w:rPr>
        <w:t xml:space="preserve">mpted to bring machine learning</w:t>
      </w:r>
      <w:r w:rsidDel="00000000" w:rsidR="00000000" w:rsidRPr="00000000">
        <w:rPr>
          <w:rFonts w:ascii="Calibri" w:cs="Calibri" w:eastAsia="Calibri" w:hAnsi="Calibri"/>
          <w:sz w:val="21"/>
          <w:szCs w:val="21"/>
          <w:rtl w:val="0"/>
        </w:rPr>
        <w:t xml:space="preserve"> and automation into a traditionally highly d</w:t>
      </w:r>
      <w:r w:rsidDel="00000000" w:rsidR="00000000" w:rsidRPr="00000000">
        <w:rPr>
          <w:rtl w:val="0"/>
        </w:rPr>
        <w:t xml:space="preserve">iscretionary trading framework. Initial tests using </w:t>
      </w:r>
      <w:r w:rsidDel="00000000" w:rsidR="00000000" w:rsidRPr="00000000">
        <w:rPr>
          <w:rFonts w:ascii="Calibri" w:cs="Calibri" w:eastAsia="Calibri" w:hAnsi="Calibri"/>
          <w:sz w:val="21"/>
          <w:szCs w:val="21"/>
          <w:rtl w:val="0"/>
        </w:rPr>
        <w:t xml:space="preserve">a walk-forward LightGBM strategy appeared to deliver +17.7% average annual return with a 0.96 Sharpe ratio over 11 years of backtest</w:t>
      </w:r>
      <w:r w:rsidDel="00000000" w:rsidR="00000000" w:rsidRPr="00000000">
        <w:rPr>
          <w:rtl w:val="0"/>
        </w:rPr>
        <w:t xml:space="preserve">s</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However, after correcting methodological mistakes and rigorous validation</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I reduced my overly optimistic backtesting results</w:t>
      </w:r>
      <w:r w:rsidDel="00000000" w:rsidR="00000000" w:rsidRPr="00000000">
        <w:rPr>
          <w:rFonts w:ascii="Calibri" w:cs="Calibri" w:eastAsia="Calibri" w:hAnsi="Calibri"/>
          <w:sz w:val="21"/>
          <w:szCs w:val="21"/>
          <w:rtl w:val="0"/>
        </w:rPr>
        <w:t xml:space="preserve"> to a selection-bias-corrected Sharpe of approximately 0.2 (statistically indistinguishable from zero), with no measurable edge at all in the most recent 3.5 years. A </w:t>
      </w:r>
      <w:r w:rsidDel="00000000" w:rsidR="00000000" w:rsidRPr="00000000">
        <w:rPr>
          <w:rtl w:val="0"/>
        </w:rPr>
        <w:t xml:space="preserve">second set of tests featuring a faithful </w:t>
      </w:r>
      <w:r w:rsidDel="00000000" w:rsidR="00000000" w:rsidRPr="00000000">
        <w:rPr>
          <w:rFonts w:ascii="Calibri" w:cs="Calibri" w:eastAsia="Calibri" w:hAnsi="Calibri"/>
          <w:sz w:val="21"/>
          <w:szCs w:val="21"/>
          <w:rtl w:val="0"/>
        </w:rPr>
        <w:t xml:space="preserve">implementation of a publicly-taught top-down ICT playbook </w:t>
      </w:r>
      <w:r w:rsidDel="00000000" w:rsidR="00000000" w:rsidRPr="00000000">
        <w:rPr>
          <w:rtl w:val="0"/>
        </w:rPr>
        <w:t xml:space="preserve">with fixed rules</w:t>
      </w:r>
      <w:r w:rsidDel="00000000" w:rsidR="00000000" w:rsidRPr="00000000">
        <w:rPr>
          <w:rFonts w:ascii="Calibri" w:cs="Calibri" w:eastAsia="Calibri" w:hAnsi="Calibri"/>
          <w:sz w:val="21"/>
          <w:szCs w:val="21"/>
          <w:rtl w:val="0"/>
        </w:rPr>
        <w:t xml:space="preserve"> performed indistinguishably from random entries sharing the same exit</w:t>
      </w:r>
      <w:r w:rsidDel="00000000" w:rsidR="00000000" w:rsidRPr="00000000">
        <w:rPr>
          <w:rtl w:val="0"/>
        </w:rPr>
        <w:t xml:space="preserve"> rulebook</w:t>
      </w:r>
      <w:r w:rsidDel="00000000" w:rsidR="00000000" w:rsidRPr="00000000">
        <w:rPr>
          <w:rFonts w:ascii="Calibri" w:cs="Calibri" w:eastAsia="Calibri" w:hAnsi="Calibri"/>
          <w:sz w:val="21"/>
          <w:szCs w:val="21"/>
          <w:rtl w:val="0"/>
        </w:rPr>
        <w:t xml:space="preserve">. The conclusion is a well-supported negative: mechanically-defined ICT concepts do not </w:t>
      </w:r>
      <w:r w:rsidDel="00000000" w:rsidR="00000000" w:rsidRPr="00000000">
        <w:rPr>
          <w:rtl w:val="0"/>
        </w:rPr>
        <w:t xml:space="preserve">carry a deployable</w:t>
      </w:r>
      <w:r w:rsidDel="00000000" w:rsidR="00000000" w:rsidRPr="00000000">
        <w:rPr>
          <w:rFonts w:ascii="Calibri" w:cs="Calibri" w:eastAsia="Calibri" w:hAnsi="Calibri"/>
          <w:sz w:val="21"/>
          <w:szCs w:val="21"/>
          <w:rtl w:val="0"/>
        </w:rPr>
        <w:t xml:space="preserve"> edge on intraday index futures at retail execution </w:t>
      </w:r>
      <w:r w:rsidDel="00000000" w:rsidR="00000000" w:rsidRPr="00000000">
        <w:rPr>
          <w:rtl w:val="0"/>
        </w:rPr>
        <w:t xml:space="preserve">precision</w:t>
      </w:r>
      <w:r w:rsidDel="00000000" w:rsidR="00000000" w:rsidRPr="00000000">
        <w:rPr>
          <w:rFonts w:ascii="Calibri" w:cs="Calibri" w:eastAsia="Calibri" w:hAnsi="Calibri"/>
          <w:sz w:val="21"/>
          <w:szCs w:val="21"/>
          <w:rtl w:val="0"/>
        </w:rPr>
        <w:t xml:space="preserve">. The following report documents </w:t>
      </w:r>
      <w:r w:rsidDel="00000000" w:rsidR="00000000" w:rsidRPr="00000000">
        <w:rPr>
          <w:rtl w:val="0"/>
        </w:rPr>
        <w:t xml:space="preserve">my research process, </w:t>
      </w:r>
      <w:r w:rsidDel="00000000" w:rsidR="00000000" w:rsidRPr="00000000">
        <w:rPr>
          <w:rFonts w:ascii="Calibri" w:cs="Calibri" w:eastAsia="Calibri" w:hAnsi="Calibri"/>
          <w:sz w:val="21"/>
          <w:szCs w:val="21"/>
          <w:rtl w:val="0"/>
        </w:rPr>
        <w:t xml:space="preserve">methodology, statistical failures that produced </w:t>
      </w:r>
      <w:r w:rsidDel="00000000" w:rsidR="00000000" w:rsidRPr="00000000">
        <w:rPr>
          <w:rtl w:val="0"/>
        </w:rPr>
        <w:t xml:space="preserve">an </w:t>
      </w:r>
      <w:r w:rsidDel="00000000" w:rsidR="00000000" w:rsidRPr="00000000">
        <w:rPr>
          <w:rFonts w:ascii="Calibri" w:cs="Calibri" w:eastAsia="Calibri" w:hAnsi="Calibri"/>
          <w:sz w:val="21"/>
          <w:szCs w:val="21"/>
          <w:rtl w:val="0"/>
        </w:rPr>
        <w:t xml:space="preserve">illusory high </w:t>
      </w:r>
      <w:r w:rsidDel="00000000" w:rsidR="00000000" w:rsidRPr="00000000">
        <w:rPr>
          <w:rtl w:val="0"/>
        </w:rPr>
        <w:t xml:space="preserve">return</w:t>
      </w:r>
      <w:r w:rsidDel="00000000" w:rsidR="00000000" w:rsidRPr="00000000">
        <w:rPr>
          <w:rFonts w:ascii="Calibri" w:cs="Calibri" w:eastAsia="Calibri" w:hAnsi="Calibri"/>
          <w:sz w:val="21"/>
          <w:szCs w:val="21"/>
          <w:rtl w:val="0"/>
        </w:rPr>
        <w:t xml:space="preserve">, and </w:t>
      </w:r>
      <w:r w:rsidDel="00000000" w:rsidR="00000000" w:rsidRPr="00000000">
        <w:rPr>
          <w:rtl w:val="0"/>
        </w:rPr>
        <w:t xml:space="preserve">how I corrected my conclusion through a robust </w:t>
      </w:r>
      <w:r w:rsidDel="00000000" w:rsidR="00000000" w:rsidRPr="00000000">
        <w:rPr>
          <w:rFonts w:ascii="Calibri" w:cs="Calibri" w:eastAsia="Calibri" w:hAnsi="Calibri"/>
          <w:sz w:val="21"/>
          <w:szCs w:val="21"/>
          <w:rtl w:val="0"/>
        </w:rPr>
        <w:t xml:space="preserve">validation framework.</w:t>
      </w:r>
      <w:r w:rsidDel="00000000" w:rsidR="00000000" w:rsidRPr="00000000">
        <w:rPr>
          <w:rtl w:val="0"/>
        </w:rPr>
      </w:r>
    </w:p>
    <w:p w:rsidR="00000000" w:rsidDel="00000000" w:rsidP="00000000" w:rsidRDefault="00000000" w:rsidRPr="00000000" w14:paraId="00000007">
      <w:pPr>
        <w:pStyle w:val="Heading1"/>
        <w:spacing w:after="160" w:before="320" w:lineRule="auto"/>
        <w:rPr>
          <w:color w:val="000000"/>
        </w:rPr>
      </w:pPr>
      <w:r w:rsidDel="00000000" w:rsidR="00000000" w:rsidRPr="00000000">
        <w:rPr>
          <w:rFonts w:ascii="Calibri" w:cs="Calibri" w:eastAsia="Calibri" w:hAnsi="Calibri"/>
          <w:b w:val="1"/>
          <w:bCs w:val="1"/>
          <w:color w:val="000000"/>
          <w:sz w:val="30"/>
          <w:szCs w:val="30"/>
          <w:rtl w:val="0"/>
        </w:rPr>
        <w:t xml:space="preserve">1. Research Question &amp; Approach</w:t>
      </w:r>
      <w:r w:rsidDel="00000000" w:rsidR="00000000" w:rsidRPr="00000000">
        <w:rPr>
          <w:rtl w:val="0"/>
        </w:rPr>
      </w:r>
    </w:p>
    <w:p w:rsidR="00000000" w:rsidDel="00000000" w:rsidP="00000000" w:rsidRDefault="00000000" w:rsidRPr="00000000" w14:paraId="00000008">
      <w:pPr>
        <w:spacing w:after="160" w:before="0" w:lineRule="auto"/>
        <w:rPr/>
      </w:pPr>
      <w:r w:rsidDel="00000000" w:rsidR="00000000" w:rsidRPr="00000000">
        <w:rPr>
          <w:rFonts w:ascii="Calibri" w:cs="Calibri" w:eastAsia="Calibri" w:hAnsi="Calibri"/>
          <w:sz w:val="21"/>
          <w:szCs w:val="21"/>
          <w:rtl w:val="0"/>
        </w:rPr>
        <w:t xml:space="preserve">ICT is a popular discretionary framework asserting that price is drawn toward pools of resting liquidity, and that sweeps of those pools followed by structural confirmation mark high-probability reversals. It is almost always taught and traded by hand</w:t>
      </w:r>
      <w:r w:rsidDel="00000000" w:rsidR="00000000" w:rsidRPr="00000000">
        <w:rPr>
          <w:rtl w:val="0"/>
        </w:rPr>
        <w:t xml:space="preserve">, despite many traders simply trading based on a predetermined setup. Thus, I found it necessary to test whether the ICT trading framework could stand to trade profitably on its principles alone, without the discretion of a human trader. Without a measurable statistical edge, one can reasonably conclude that the success of an ICT trader is largely determined by the luck of the draw, and therefore it would not be wise for me to continue pursuing a trading edge through the framework.</w:t>
      </w:r>
    </w:p>
    <w:p w:rsidR="00000000" w:rsidDel="00000000" w:rsidP="00000000" w:rsidRDefault="00000000" w:rsidRPr="00000000" w14:paraId="00000009">
      <w:pPr>
        <w:spacing w:after="160" w:before="0" w:lineRule="auto"/>
        <w:rPr/>
      </w:pPr>
      <w:r w:rsidDel="00000000" w:rsidR="00000000" w:rsidRPr="00000000">
        <w:rPr>
          <w:rFonts w:ascii="Calibri" w:cs="Calibri" w:eastAsia="Calibri" w:hAnsi="Calibri"/>
          <w:sz w:val="21"/>
          <w:szCs w:val="21"/>
          <w:rtl w:val="0"/>
        </w:rPr>
        <w:t xml:space="preserve">The research </w:t>
      </w:r>
      <w:r w:rsidDel="00000000" w:rsidR="00000000" w:rsidRPr="00000000">
        <w:rPr>
          <w:rtl w:val="0"/>
        </w:rPr>
        <w:t xml:space="preserve">project </w:t>
      </w:r>
      <w:r w:rsidDel="00000000" w:rsidR="00000000" w:rsidRPr="00000000">
        <w:rPr>
          <w:rFonts w:ascii="Calibri" w:cs="Calibri" w:eastAsia="Calibri" w:hAnsi="Calibri"/>
          <w:sz w:val="21"/>
          <w:szCs w:val="21"/>
          <w:rtl w:val="0"/>
        </w:rPr>
        <w:t xml:space="preserve">was completed </w:t>
      </w:r>
      <w:r w:rsidDel="00000000" w:rsidR="00000000" w:rsidRPr="00000000">
        <w:rPr>
          <w:rtl w:val="0"/>
        </w:rPr>
        <w:t xml:space="preserve">through repeated</w:t>
      </w:r>
      <w:r w:rsidDel="00000000" w:rsidR="00000000" w:rsidRPr="00000000">
        <w:rPr>
          <w:rFonts w:ascii="Calibri" w:cs="Calibri" w:eastAsia="Calibri" w:hAnsi="Calibri"/>
          <w:sz w:val="21"/>
          <w:szCs w:val="21"/>
          <w:rtl w:val="0"/>
        </w:rPr>
        <w:t xml:space="preserve"> hypothesis testing: start with a very </w:t>
      </w:r>
      <w:r w:rsidDel="00000000" w:rsidR="00000000" w:rsidRPr="00000000">
        <w:rPr>
          <w:rtl w:val="0"/>
        </w:rPr>
        <w:t xml:space="preserve">barebones </w:t>
      </w:r>
      <w:r w:rsidDel="00000000" w:rsidR="00000000" w:rsidRPr="00000000">
        <w:rPr>
          <w:rFonts w:ascii="Calibri" w:cs="Calibri" w:eastAsia="Calibri" w:hAnsi="Calibri"/>
          <w:sz w:val="21"/>
          <w:szCs w:val="21"/>
          <w:rtl w:val="0"/>
        </w:rPr>
        <w:t xml:space="preserve">ICT baseline strategy, implement </w:t>
      </w:r>
      <w:r w:rsidDel="00000000" w:rsidR="00000000" w:rsidRPr="00000000">
        <w:rPr>
          <w:rtl w:val="0"/>
        </w:rPr>
        <w:t xml:space="preserve">new</w:t>
      </w:r>
      <w:r w:rsidDel="00000000" w:rsidR="00000000" w:rsidRPr="00000000">
        <w:rPr>
          <w:rFonts w:ascii="Calibri" w:cs="Calibri" w:eastAsia="Calibri" w:hAnsi="Calibri"/>
          <w:sz w:val="21"/>
          <w:szCs w:val="21"/>
          <w:rtl w:val="0"/>
        </w:rPr>
        <w:t xml:space="preserve"> concepts mechanically, backtest it walk-forward out-of-sample over 11 years, record the </w:t>
      </w:r>
      <w:r w:rsidDel="00000000" w:rsidR="00000000" w:rsidRPr="00000000">
        <w:rPr>
          <w:rtl w:val="0"/>
        </w:rPr>
        <w:t xml:space="preserve">result, </w:t>
      </w:r>
      <w:r w:rsidDel="00000000" w:rsidR="00000000" w:rsidRPr="00000000">
        <w:rPr>
          <w:rFonts w:ascii="Calibri" w:cs="Calibri" w:eastAsia="Calibri" w:hAnsi="Calibri"/>
          <w:sz w:val="21"/>
          <w:szCs w:val="21"/>
          <w:rtl w:val="0"/>
        </w:rPr>
        <w:t xml:space="preserve">and </w:t>
      </w:r>
      <w:r w:rsidDel="00000000" w:rsidR="00000000" w:rsidRPr="00000000">
        <w:rPr>
          <w:rtl w:val="0"/>
        </w:rPr>
        <w:t xml:space="preserve">revise the trading model based on the outcome</w:t>
      </w:r>
      <w:r w:rsidDel="00000000" w:rsidR="00000000" w:rsidRPr="00000000">
        <w:rPr>
          <w:rFonts w:ascii="Calibri" w:cs="Calibri" w:eastAsia="Calibri" w:hAnsi="Calibri"/>
          <w:sz w:val="21"/>
          <w:szCs w:val="21"/>
          <w:rtl w:val="0"/>
        </w:rPr>
        <w:t xml:space="preserve">. Seventeen phases were completed and documented; every result table in this report derives from stored artifacts reproducible from the project repository.</w:t>
      </w:r>
      <w:r w:rsidDel="00000000" w:rsidR="00000000" w:rsidRPr="00000000">
        <w:rPr>
          <w:rtl w:val="0"/>
        </w:rPr>
      </w:r>
    </w:p>
    <w:p w:rsidR="00000000" w:rsidDel="00000000" w:rsidP="00000000" w:rsidRDefault="00000000" w:rsidRPr="00000000" w14:paraId="0000000A">
      <w:pPr>
        <w:pStyle w:val="Heading1"/>
        <w:spacing w:after="160" w:before="320" w:lineRule="auto"/>
        <w:rPr>
          <w:color w:val="000000"/>
        </w:rPr>
      </w:pPr>
      <w:r w:rsidDel="00000000" w:rsidR="00000000" w:rsidRPr="00000000">
        <w:rPr>
          <w:rFonts w:ascii="Calibri" w:cs="Calibri" w:eastAsia="Calibri" w:hAnsi="Calibri"/>
          <w:b w:val="1"/>
          <w:bCs w:val="1"/>
          <w:color w:val="000000"/>
          <w:sz w:val="30"/>
          <w:szCs w:val="30"/>
          <w:rtl w:val="0"/>
        </w:rPr>
        <w:t xml:space="preserve">2. Data &amp; Infrastructure</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Data: 3.79M one-minute OHLCV bars per instrument (NQ/MNQ continuous, June 2015 </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June 2026), plus ES and 1-minute VIX futures for cross-sectional tests. </w:t>
      </w:r>
      <w:r w:rsidDel="00000000" w:rsidR="00000000" w:rsidRPr="00000000">
        <w:rPr>
          <w:rtl w:val="0"/>
        </w:rPr>
        <w:t xml:space="preserve">A data integrity check showed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zero duplicate or non-monotonic timestamps; 214 inter-bar gaps &gt;0.3% in 11 years, dominated by session breaks and quarterly rolls; trades adjacent to gaps contributed ~1% of PnL (Section 5.4).</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Feature engine: a bar-by-bar Python engine (zero look-ahead) producing 11 setup features per liquidity-sweep event: sweep direction/size, liquidity type and clustering strength, </w:t>
      </w:r>
      <w:r w:rsidDel="00000000" w:rsidR="00000000" w:rsidRPr="00000000">
        <w:rPr>
          <w:rtl w:val="0"/>
        </w:rPr>
        <w:t xml:space="preserve">break of structure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strength, </w:t>
      </w:r>
      <w:r w:rsidDel="00000000" w:rsidR="00000000" w:rsidRPr="00000000">
        <w:rPr>
          <w:rtl w:val="0"/>
        </w:rPr>
        <w:t xml:space="preserve">fair value gap acceptance/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rejection, retracement depth, time</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since</w:t>
      </w:r>
      <w:r w:rsidDel="00000000" w:rsidR="00000000" w:rsidRPr="00000000">
        <w:rPr>
          <w:rtl w:val="0"/>
        </w:rPr>
        <w:t xml:space="preserve"> liquidity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sweep, and trading session flags. 39,079 setups were </w:t>
      </w:r>
      <w:r w:rsidDel="00000000" w:rsidR="00000000" w:rsidRPr="00000000">
        <w:rPr>
          <w:rtl w:val="0"/>
        </w:rPr>
        <w:t xml:space="preserve">recorded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 total.</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tl w:val="0"/>
        </w:rPr>
        <w:t xml:space="preserve">Machine learning structure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rolling walk-forward (retrain every 5 setups; 6-month rolling training window; 1-year warm-up)</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LightGBM classifier gates trade entry by predicted success probability. Execution simulated on 1-minute bars with conservative </w:t>
      </w:r>
      <w:r w:rsidDel="00000000" w:rsidR="00000000" w:rsidRPr="00000000">
        <w:rPr>
          <w:rtl w:val="0"/>
        </w:rPr>
        <w:t xml:space="preserve">estimates of trade execution.</w:t>
      </w:r>
      <w:r w:rsidDel="00000000" w:rsidR="00000000" w:rsidRPr="00000000">
        <w:rPr>
          <w:rtl w:val="0"/>
        </w:rPr>
      </w:r>
    </w:p>
    <w:p w:rsidR="00000000" w:rsidDel="00000000" w:rsidP="00000000" w:rsidRDefault="00000000" w:rsidRPr="00000000" w14:paraId="0000000E">
      <w:pPr>
        <w:pStyle w:val="Heading1"/>
        <w:spacing w:after="160" w:before="320" w:lineRule="auto"/>
        <w:rPr>
          <w:color w:val="000000"/>
        </w:rPr>
      </w:pPr>
      <w:r w:rsidDel="00000000" w:rsidR="00000000" w:rsidRPr="00000000">
        <w:rPr>
          <w:rFonts w:ascii="Calibri" w:cs="Calibri" w:eastAsia="Calibri" w:hAnsi="Calibri"/>
          <w:b w:val="1"/>
          <w:bCs w:val="1"/>
          <w:color w:val="000000"/>
          <w:sz w:val="30"/>
          <w:szCs w:val="30"/>
          <w:rtl w:val="0"/>
        </w:rPr>
        <w:t xml:space="preserve">3. The Research </w:t>
      </w:r>
      <w:r w:rsidDel="00000000" w:rsidR="00000000" w:rsidRPr="00000000">
        <w:rPr>
          <w:b w:val="1"/>
          <w:bCs w:val="1"/>
          <w:color w:val="000000"/>
          <w:sz w:val="30"/>
          <w:szCs w:val="30"/>
          <w:rtl w:val="0"/>
        </w:rPr>
        <w:t xml:space="preserve">Process </w:t>
      </w:r>
      <w:r w:rsidDel="00000000" w:rsidR="00000000" w:rsidRPr="00000000">
        <w:rPr>
          <w:rFonts w:ascii="Calibri" w:cs="Calibri" w:eastAsia="Calibri" w:hAnsi="Calibri"/>
          <w:b w:val="1"/>
          <w:bCs w:val="1"/>
          <w:color w:val="000000"/>
          <w:sz w:val="30"/>
          <w:szCs w:val="30"/>
          <w:rtl w:val="0"/>
        </w:rPr>
        <w:t xml:space="preserve">(17 Phases)</w:t>
      </w:r>
      <w:r w:rsidDel="00000000" w:rsidR="00000000" w:rsidRPr="00000000">
        <w:rPr>
          <w:rtl w:val="0"/>
        </w:rPr>
      </w:r>
    </w:p>
    <w:p w:rsidR="00000000" w:rsidDel="00000000" w:rsidP="00000000" w:rsidRDefault="00000000" w:rsidRPr="00000000" w14:paraId="0000000F">
      <w:pPr>
        <w:spacing w:after="160" w:before="0" w:lineRule="auto"/>
        <w:rPr/>
      </w:pPr>
      <w:r w:rsidDel="00000000" w:rsidR="00000000" w:rsidRPr="00000000">
        <w:rPr>
          <w:rFonts w:ascii="Calibri" w:cs="Calibri" w:eastAsia="Calibri" w:hAnsi="Calibri"/>
          <w:sz w:val="21"/>
          <w:szCs w:val="21"/>
          <w:rtl w:val="0"/>
        </w:rPr>
        <w:t xml:space="preserve">Each phase </w:t>
      </w:r>
      <w:r w:rsidDel="00000000" w:rsidR="00000000" w:rsidRPr="00000000">
        <w:rPr>
          <w:rtl w:val="0"/>
        </w:rPr>
        <w:t xml:space="preserve">tests a potential change to the model</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and records the verdict</w:t>
      </w:r>
      <w:r w:rsidDel="00000000" w:rsidR="00000000" w:rsidRPr="00000000">
        <w:rPr>
          <w:rFonts w:ascii="Calibri" w:cs="Calibri" w:eastAsia="Calibri" w:hAnsi="Calibri"/>
          <w:sz w:val="21"/>
          <w:szCs w:val="21"/>
          <w:rtl w:val="0"/>
        </w:rPr>
        <w:t xml:space="preserve">. Failures were kept</w:t>
      </w:r>
      <w:r w:rsidDel="00000000" w:rsidR="00000000" w:rsidRPr="00000000">
        <w:rPr>
          <w:rtl w:val="0"/>
        </w:rPr>
        <w:t xml:space="preserve"> as additional data for this </w:t>
      </w:r>
      <w:r w:rsidDel="00000000" w:rsidR="00000000" w:rsidRPr="00000000">
        <w:rPr>
          <w:rFonts w:ascii="Calibri" w:cs="Calibri" w:eastAsia="Calibri" w:hAnsi="Calibri"/>
          <w:sz w:val="21"/>
          <w:szCs w:val="21"/>
          <w:rtl w:val="0"/>
        </w:rPr>
        <w:t xml:space="preserve">report.</w:t>
      </w:r>
      <w:r w:rsidDel="00000000" w:rsidR="00000000" w:rsidRPr="00000000">
        <w:rPr>
          <w:rtl w:val="0"/>
        </w:rPr>
      </w:r>
    </w:p>
    <w:tbl>
      <w:tblPr>
        <w:tblStyle w:val="Table1"/>
        <w:tblW w:w="9600.0" w:type="dxa"/>
        <w:jc w:val="left"/>
        <w:tblBorders>
          <w:top w:color="bbbbbb" w:space="0" w:sz="4" w:val="single"/>
          <w:left w:color="000000" w:space="0" w:sz="0" w:val="nil"/>
          <w:bottom w:color="bbbbbb" w:space="0" w:sz="4" w:val="single"/>
          <w:right w:color="000000" w:space="0" w:sz="0" w:val="nil"/>
          <w:insideH w:color="dddddd" w:space="0" w:sz="4" w:val="single"/>
          <w:insideV w:color="000000" w:space="0" w:sz="0" w:val="nil"/>
        </w:tblBorders>
        <w:tblLayout w:type="fixed"/>
        <w:tblLook w:val="0000"/>
      </w:tblPr>
      <w:tblGrid>
        <w:gridCol w:w="900"/>
        <w:gridCol w:w="5700"/>
        <w:gridCol w:w="3000"/>
        <w:tblGridChange w:id="0">
          <w:tblGrid>
            <w:gridCol w:w="900"/>
            <w:gridCol w:w="5700"/>
            <w:gridCol w:w="30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10">
            <w:pPr>
              <w:spacing w:after="0" w:lineRule="auto"/>
              <w:jc w:val="left"/>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11">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Hypothesis</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12">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Verdict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3">
            <w:pPr>
              <w:spacing w:after="0" w:lineRule="auto"/>
              <w:jc w:val="left"/>
              <w:rPr/>
            </w:pPr>
            <w:r w:rsidDel="00000000" w:rsidR="00000000" w:rsidRPr="00000000">
              <w:rPr>
                <w:rFonts w:ascii="Calibri" w:cs="Calibri" w:eastAsia="Calibri" w:hAnsi="Calibri"/>
                <w:b w:val="0"/>
                <w:bCs w:val="0"/>
                <w:color w:val="222222"/>
                <w:sz w:val="18"/>
                <w:szCs w:val="18"/>
                <w:rtl w:val="0"/>
              </w:rPr>
              <w:t xml:space="preserve">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4">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Rules-only sweep trading (sessions, stops, liquidity filters)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5">
            <w:pPr>
              <w:spacing w:after="0" w:lineRule="auto"/>
              <w:jc w:val="center"/>
              <w:rPr/>
            </w:pPr>
            <w:r w:rsidDel="00000000" w:rsidR="00000000" w:rsidRPr="00000000">
              <w:rPr>
                <w:rFonts w:ascii="Calibri" w:cs="Calibri" w:eastAsia="Calibri" w:hAnsi="Calibri"/>
                <w:color w:val="994444"/>
                <w:sz w:val="18"/>
                <w:szCs w:val="18"/>
                <w:rtl w:val="0"/>
              </w:rPr>
              <w:t xml:space="preserve">Failed </w:t>
            </w:r>
            <w:r w:rsidDel="00000000" w:rsidR="00000000" w:rsidRPr="00000000">
              <w:rPr>
                <w:color w:val="994444"/>
                <w:sz w:val="18"/>
                <w:szCs w:val="18"/>
                <w:rtl w:val="0"/>
              </w:rPr>
              <w:t xml:space="preserve">-</w:t>
            </w:r>
            <w:r w:rsidDel="00000000" w:rsidR="00000000" w:rsidRPr="00000000">
              <w:rPr>
                <w:rFonts w:ascii="Calibri" w:cs="Calibri" w:eastAsia="Calibri" w:hAnsi="Calibri"/>
                <w:color w:val="994444"/>
                <w:sz w:val="18"/>
                <w:szCs w:val="18"/>
                <w:rtl w:val="0"/>
              </w:rPr>
              <w:t xml:space="preserve"> expectancy ≈ 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spacing w:after="0" w:lineRule="auto"/>
              <w:jc w:val="left"/>
              <w:rPr/>
            </w:pPr>
            <w:r w:rsidDel="00000000" w:rsidR="00000000" w:rsidRPr="00000000">
              <w:rPr>
                <w:rFonts w:ascii="Calibri" w:cs="Calibri" w:eastAsia="Calibri" w:hAnsi="Calibri"/>
                <w:b w:val="0"/>
                <w:bCs w:val="0"/>
                <w:color w:val="222222"/>
                <w:sz w:val="18"/>
                <w:szCs w:val="18"/>
                <w:rtl w:val="0"/>
              </w:rPr>
              <w:t xml:space="preserve">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7">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ML setup filter, expanding window</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spacing w:after="0" w:lineRule="auto"/>
              <w:jc w:val="center"/>
              <w:rPr/>
            </w:pPr>
            <w:r w:rsidDel="00000000" w:rsidR="00000000" w:rsidRPr="00000000">
              <w:rPr>
                <w:rFonts w:ascii="Calibri" w:cs="Calibri" w:eastAsia="Calibri" w:hAnsi="Calibri"/>
                <w:color w:val="997722"/>
                <w:sz w:val="18"/>
                <w:szCs w:val="18"/>
                <w:rtl w:val="0"/>
              </w:rPr>
              <w:t xml:space="preserve">Partial </w:t>
            </w:r>
            <w:r w:rsidDel="00000000" w:rsidR="00000000" w:rsidRPr="00000000">
              <w:rPr>
                <w:color w:val="997722"/>
                <w:sz w:val="18"/>
                <w:szCs w:val="18"/>
                <w:rtl w:val="0"/>
              </w:rPr>
              <w:t xml:space="preserve">-</w:t>
            </w:r>
            <w:r w:rsidDel="00000000" w:rsidR="00000000" w:rsidRPr="00000000">
              <w:rPr>
                <w:rFonts w:ascii="Calibri" w:cs="Calibri" w:eastAsia="Calibri" w:hAnsi="Calibri"/>
                <w:color w:val="997722"/>
                <w:sz w:val="18"/>
                <w:szCs w:val="18"/>
                <w:rtl w:val="0"/>
              </w:rPr>
              <w:t xml:space="preserve"> concept works, config stale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9">
            <w:pPr>
              <w:spacing w:after="0" w:lineRule="auto"/>
              <w:jc w:val="left"/>
              <w:rPr/>
            </w:pPr>
            <w:r w:rsidDel="00000000" w:rsidR="00000000" w:rsidRPr="00000000">
              <w:rPr>
                <w:rFonts w:ascii="Calibri" w:cs="Calibri" w:eastAsia="Calibri" w:hAnsi="Calibri"/>
                <w:b w:val="0"/>
                <w:bCs w:val="0"/>
                <w:color w:val="222222"/>
                <w:sz w:val="18"/>
                <w:szCs w:val="18"/>
                <w:rtl w:val="0"/>
              </w:rPr>
              <w:t xml:space="preserve">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A">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Structural upgrades (BOS-only trigger, swing-pivot dealing range)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B">
            <w:pPr>
              <w:spacing w:after="0" w:lineRule="auto"/>
              <w:jc w:val="center"/>
              <w:rPr/>
            </w:pPr>
            <w:r w:rsidDel="00000000" w:rsidR="00000000" w:rsidRPr="00000000">
              <w:rPr>
                <w:rFonts w:ascii="Calibri" w:cs="Calibri" w:eastAsia="Calibri" w:hAnsi="Calibri"/>
                <w:color w:val="227722"/>
                <w:sz w:val="18"/>
                <w:szCs w:val="18"/>
                <w:rtl w:val="0"/>
              </w:rPr>
              <w:t xml:space="preserve">Adopted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C">
            <w:pPr>
              <w:spacing w:after="0" w:lineRule="auto"/>
              <w:jc w:val="left"/>
              <w:rPr/>
            </w:pPr>
            <w:r w:rsidDel="00000000" w:rsidR="00000000" w:rsidRPr="00000000">
              <w:rPr>
                <w:rFonts w:ascii="Calibri" w:cs="Calibri" w:eastAsia="Calibri" w:hAnsi="Calibri"/>
                <w:b w:val="0"/>
                <w:bCs w:val="0"/>
                <w:color w:val="222222"/>
                <w:sz w:val="18"/>
                <w:szCs w:val="18"/>
                <w:rtl w:val="0"/>
              </w:rPr>
              <w:t xml:space="preserve">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D">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HTF daily-bias features &amp; filters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E">
            <w:pPr>
              <w:spacing w:after="0" w:lineRule="auto"/>
              <w:jc w:val="center"/>
              <w:rPr/>
            </w:pPr>
            <w:r w:rsidDel="00000000" w:rsidR="00000000" w:rsidRPr="00000000">
              <w:rPr>
                <w:rFonts w:ascii="Calibri" w:cs="Calibri" w:eastAsia="Calibri" w:hAnsi="Calibri"/>
                <w:color w:val="994444"/>
                <w:sz w:val="18"/>
                <w:szCs w:val="18"/>
                <w:rtl w:val="0"/>
              </w:rPr>
              <w:t xml:space="preserve">Failed </w:t>
            </w:r>
            <w:r w:rsidDel="00000000" w:rsidR="00000000" w:rsidRPr="00000000">
              <w:rPr>
                <w:color w:val="994444"/>
                <w:sz w:val="18"/>
                <w:szCs w:val="18"/>
                <w:rtl w:val="0"/>
              </w:rPr>
              <w:t xml:space="preserve">-</w:t>
            </w:r>
            <w:r w:rsidDel="00000000" w:rsidR="00000000" w:rsidRPr="00000000">
              <w:rPr>
                <w:rFonts w:ascii="Calibri" w:cs="Calibri" w:eastAsia="Calibri" w:hAnsi="Calibri"/>
                <w:color w:val="994444"/>
                <w:sz w:val="18"/>
                <w:szCs w:val="18"/>
                <w:rtl w:val="0"/>
              </w:rPr>
              <w:t xml:space="preserve"> blocks mean-reversion edge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F">
            <w:pPr>
              <w:spacing w:after="0" w:lineRule="auto"/>
              <w:jc w:val="left"/>
              <w:rPr/>
            </w:pPr>
            <w:r w:rsidDel="00000000" w:rsidR="00000000" w:rsidRPr="00000000">
              <w:rPr>
                <w:rFonts w:ascii="Calibri" w:cs="Calibri" w:eastAsia="Calibri" w:hAnsi="Calibri"/>
                <w:b w:val="0"/>
                <w:bCs w:val="0"/>
                <w:color w:val="222222"/>
                <w:sz w:val="18"/>
                <w:szCs w:val="18"/>
                <w:rtl w:val="0"/>
              </w:rPr>
              <w:t xml:space="preserve">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0">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Confluence comparison (OB, breaker blocks)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1">
            <w:pPr>
              <w:spacing w:after="0" w:lineRule="auto"/>
              <w:jc w:val="center"/>
              <w:rPr/>
            </w:pPr>
            <w:r w:rsidDel="00000000" w:rsidR="00000000" w:rsidRPr="00000000">
              <w:rPr>
                <w:rFonts w:ascii="Calibri" w:cs="Calibri" w:eastAsia="Calibri" w:hAnsi="Calibri"/>
                <w:color w:val="227722"/>
                <w:sz w:val="18"/>
                <w:szCs w:val="18"/>
                <w:rtl w:val="0"/>
              </w:rPr>
              <w:t xml:space="preserve">Breaker adopted; OB rejected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2">
            <w:pPr>
              <w:spacing w:after="0" w:lineRule="auto"/>
              <w:jc w:val="left"/>
              <w:rPr/>
            </w:pPr>
            <w:r w:rsidDel="00000000" w:rsidR="00000000" w:rsidRPr="00000000">
              <w:rPr>
                <w:rFonts w:ascii="Calibri" w:cs="Calibri" w:eastAsia="Calibri" w:hAnsi="Calibri"/>
                <w:b w:val="0"/>
                <w:bCs w:val="0"/>
                <w:color w:val="222222"/>
                <w:sz w:val="18"/>
                <w:szCs w:val="18"/>
                <w:rtl w:val="0"/>
              </w:rPr>
              <w:t xml:space="preserve">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3">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Risk-based sizing; HTF trend filter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4">
            <w:pPr>
              <w:spacing w:after="0" w:lineRule="auto"/>
              <w:jc w:val="center"/>
              <w:rPr/>
            </w:pPr>
            <w:r w:rsidDel="00000000" w:rsidR="00000000" w:rsidRPr="00000000">
              <w:rPr>
                <w:rFonts w:ascii="Calibri" w:cs="Calibri" w:eastAsia="Calibri" w:hAnsi="Calibri"/>
                <w:color w:val="994444"/>
                <w:sz w:val="18"/>
                <w:szCs w:val="18"/>
                <w:rtl w:val="0"/>
              </w:rPr>
              <w:t xml:space="preserve">Both rejected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5">
            <w:pPr>
              <w:spacing w:after="0" w:lineRule="auto"/>
              <w:jc w:val="left"/>
              <w:rPr/>
            </w:pPr>
            <w:r w:rsidDel="00000000" w:rsidR="00000000" w:rsidRPr="00000000">
              <w:rPr>
                <w:rFonts w:ascii="Calibri" w:cs="Calibri" w:eastAsia="Calibri" w:hAnsi="Calibri"/>
                <w:b w:val="0"/>
                <w:bCs w:val="0"/>
                <w:color w:val="222222"/>
                <w:sz w:val="18"/>
                <w:szCs w:val="18"/>
                <w:rtl w:val="0"/>
              </w:rPr>
              <w:t xml:space="preserve">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6">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Intraday VIX features (5 variants)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7">
            <w:pPr>
              <w:spacing w:after="0" w:lineRule="auto"/>
              <w:jc w:val="center"/>
              <w:rPr/>
            </w:pPr>
            <w:r w:rsidDel="00000000" w:rsidR="00000000" w:rsidRPr="00000000">
              <w:rPr>
                <w:rFonts w:ascii="Calibri" w:cs="Calibri" w:eastAsia="Calibri" w:hAnsi="Calibri"/>
                <w:color w:val="994444"/>
                <w:sz w:val="18"/>
                <w:szCs w:val="18"/>
                <w:rtl w:val="0"/>
              </w:rPr>
              <w:t xml:space="preserve">All failed vs baseline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8">
            <w:pPr>
              <w:spacing w:after="0" w:lineRule="auto"/>
              <w:jc w:val="left"/>
              <w:rPr/>
            </w:pPr>
            <w:r w:rsidDel="00000000" w:rsidR="00000000" w:rsidRPr="00000000">
              <w:rPr>
                <w:rFonts w:ascii="Calibri" w:cs="Calibri" w:eastAsia="Calibri" w:hAnsi="Calibri"/>
                <w:b w:val="0"/>
                <w:bCs w:val="0"/>
                <w:color w:val="222222"/>
                <w:sz w:val="18"/>
                <w:szCs w:val="18"/>
                <w:rtl w:val="0"/>
              </w:rPr>
              <w:t xml:space="preserve">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9">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11-year validation of approved config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A">
            <w:pPr>
              <w:spacing w:after="0" w:lineRule="auto"/>
              <w:jc w:val="center"/>
              <w:rPr/>
            </w:pPr>
            <w:r w:rsidDel="00000000" w:rsidR="00000000" w:rsidRPr="00000000">
              <w:rPr>
                <w:rFonts w:ascii="Calibri" w:cs="Calibri" w:eastAsia="Calibri" w:hAnsi="Calibri"/>
                <w:color w:val="227722"/>
                <w:sz w:val="18"/>
                <w:szCs w:val="18"/>
                <w:rtl w:val="0"/>
              </w:rPr>
              <w:t xml:space="preserve">+16.0%/yr, 0.73 avg Sharpe (gross)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B">
            <w:pPr>
              <w:spacing w:after="0" w:lineRule="auto"/>
              <w:jc w:val="left"/>
              <w:rPr/>
            </w:pPr>
            <w:r w:rsidDel="00000000" w:rsidR="00000000" w:rsidRPr="00000000">
              <w:rPr>
                <w:rFonts w:ascii="Calibri" w:cs="Calibri" w:eastAsia="Calibri" w:hAnsi="Calibri"/>
                <w:b w:val="0"/>
                <w:bCs w:val="0"/>
                <w:color w:val="222222"/>
                <w:sz w:val="18"/>
                <w:szCs w:val="18"/>
                <w:rtl w:val="0"/>
              </w:rPr>
              <w:t xml:space="preserve">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C">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State-space delayed entries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D">
            <w:pPr>
              <w:spacing w:after="0" w:lineRule="auto"/>
              <w:jc w:val="center"/>
              <w:rPr/>
            </w:pPr>
            <w:r w:rsidDel="00000000" w:rsidR="00000000" w:rsidRPr="00000000">
              <w:rPr>
                <w:rFonts w:ascii="Calibri" w:cs="Calibri" w:eastAsia="Calibri" w:hAnsi="Calibri"/>
                <w:color w:val="994444"/>
                <w:sz w:val="18"/>
                <w:szCs w:val="18"/>
                <w:rtl w:val="0"/>
              </w:rPr>
              <w:t xml:space="preserve">Failed catastrophically</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E">
            <w:pPr>
              <w:spacing w:after="0" w:lineRule="auto"/>
              <w:jc w:val="left"/>
              <w:rPr/>
            </w:pPr>
            <w:r w:rsidDel="00000000" w:rsidR="00000000" w:rsidRPr="00000000">
              <w:rPr>
                <w:rFonts w:ascii="Calibri" w:cs="Calibri" w:eastAsia="Calibri" w:hAnsi="Calibri"/>
                <w:b w:val="0"/>
                <w:bCs w:val="0"/>
                <w:color w:val="222222"/>
                <w:sz w:val="18"/>
                <w:szCs w:val="18"/>
                <w:rtl w:val="0"/>
              </w:rPr>
              <w:t xml:space="preserve">10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F">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Break-even win-rate gating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0">
            <w:pPr>
              <w:spacing w:after="0" w:lineRule="auto"/>
              <w:jc w:val="center"/>
              <w:rPr/>
            </w:pPr>
            <w:r w:rsidDel="00000000" w:rsidR="00000000" w:rsidRPr="00000000">
              <w:rPr>
                <w:rFonts w:ascii="Calibri" w:cs="Calibri" w:eastAsia="Calibri" w:hAnsi="Calibri"/>
                <w:color w:val="994444"/>
                <w:sz w:val="18"/>
                <w:szCs w:val="18"/>
                <w:rtl w:val="0"/>
              </w:rPr>
              <w:t xml:space="preserve">Failed </w:t>
            </w:r>
            <w:r w:rsidDel="00000000" w:rsidR="00000000" w:rsidRPr="00000000">
              <w:rPr>
                <w:color w:val="994444"/>
                <w:sz w:val="18"/>
                <w:szCs w:val="18"/>
                <w:rtl w:val="0"/>
              </w:rPr>
              <w:t xml:space="preserve">-</w:t>
            </w:r>
            <w:r w:rsidDel="00000000" w:rsidR="00000000" w:rsidRPr="00000000">
              <w:rPr>
                <w:rFonts w:ascii="Calibri" w:cs="Calibri" w:eastAsia="Calibri" w:hAnsi="Calibri"/>
                <w:color w:val="994444"/>
                <w:sz w:val="18"/>
                <w:szCs w:val="18"/>
                <w:rtl w:val="0"/>
              </w:rPr>
              <w:t xml:space="preserve"> negative Sharpe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1">
            <w:pPr>
              <w:spacing w:after="0" w:lineRule="auto"/>
              <w:jc w:val="left"/>
              <w:rPr/>
            </w:pPr>
            <w:r w:rsidDel="00000000" w:rsidR="00000000" w:rsidRPr="00000000">
              <w:rPr>
                <w:rFonts w:ascii="Calibri" w:cs="Calibri" w:eastAsia="Calibri" w:hAnsi="Calibri"/>
                <w:b w:val="0"/>
                <w:bCs w:val="0"/>
                <w:color w:val="222222"/>
                <w:sz w:val="18"/>
                <w:szCs w:val="18"/>
                <w:rtl w:val="0"/>
              </w:rPr>
              <w:t xml:space="preserve">11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2">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Chronological training-window sweep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3">
            <w:pPr>
              <w:spacing w:after="0" w:lineRule="auto"/>
              <w:jc w:val="center"/>
              <w:rPr/>
            </w:pPr>
            <w:r w:rsidDel="00000000" w:rsidR="00000000" w:rsidRPr="00000000">
              <w:rPr>
                <w:rFonts w:ascii="Calibri" w:cs="Calibri" w:eastAsia="Calibri" w:hAnsi="Calibri"/>
                <w:color w:val="227722"/>
                <w:sz w:val="18"/>
                <w:szCs w:val="18"/>
                <w:rtl w:val="0"/>
              </w:rPr>
              <w:t xml:space="preserve">6-month window adopted → </w:t>
            </w:r>
            <w:r w:rsidDel="00000000" w:rsidR="00000000" w:rsidRPr="00000000">
              <w:rPr>
                <w:color w:val="227722"/>
                <w:sz w:val="18"/>
                <w:szCs w:val="18"/>
                <w:rtl w:val="0"/>
              </w:rPr>
              <w:t xml:space="preserve">best </w:t>
            </w:r>
            <w:r w:rsidDel="00000000" w:rsidR="00000000" w:rsidRPr="00000000">
              <w:rPr>
                <w:rFonts w:ascii="Calibri" w:cs="Calibri" w:eastAsia="Calibri" w:hAnsi="Calibri"/>
                <w:color w:val="227722"/>
                <w:sz w:val="18"/>
                <w:szCs w:val="18"/>
                <w:rtl w:val="0"/>
              </w:rPr>
              <w:t xml:space="preserve">result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4">
            <w:pPr>
              <w:spacing w:after="0" w:lineRule="auto"/>
              <w:jc w:val="left"/>
              <w:rPr/>
            </w:pPr>
            <w:r w:rsidDel="00000000" w:rsidR="00000000" w:rsidRPr="00000000">
              <w:rPr>
                <w:rFonts w:ascii="Calibri" w:cs="Calibri" w:eastAsia="Calibri" w:hAnsi="Calibri"/>
                <w:b w:val="0"/>
                <w:bCs w:val="0"/>
                <w:color w:val="222222"/>
                <w:sz w:val="18"/>
                <w:szCs w:val="18"/>
                <w:rtl w:val="0"/>
              </w:rPr>
              <w:t xml:space="preserve">12</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13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5">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Dynamic thresholds; threshold sweep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6">
            <w:pPr>
              <w:spacing w:after="0" w:lineRule="auto"/>
              <w:jc w:val="center"/>
              <w:rPr/>
            </w:pPr>
            <w:r w:rsidDel="00000000" w:rsidR="00000000" w:rsidRPr="00000000">
              <w:rPr>
                <w:rFonts w:ascii="Calibri" w:cs="Calibri" w:eastAsia="Calibri" w:hAnsi="Calibri"/>
                <w:color w:val="997722"/>
                <w:sz w:val="18"/>
                <w:szCs w:val="18"/>
                <w:rtl w:val="0"/>
              </w:rPr>
              <w:t xml:space="preserve">Constant 0.25 confirmed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7">
            <w:pPr>
              <w:spacing w:after="0" w:lineRule="auto"/>
              <w:jc w:val="left"/>
              <w:rPr/>
            </w:pPr>
            <w:r w:rsidDel="00000000" w:rsidR="00000000" w:rsidRPr="00000000">
              <w:rPr>
                <w:rFonts w:ascii="Calibri" w:cs="Calibri" w:eastAsia="Calibri" w:hAnsi="Calibri"/>
                <w:b w:val="0"/>
                <w:bCs w:val="0"/>
                <w:color w:val="222222"/>
                <w:sz w:val="18"/>
                <w:szCs w:val="18"/>
                <w:rtl w:val="0"/>
              </w:rPr>
              <w:t xml:space="preserve">14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8">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Five enhancements (time</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decay weighting, </w:t>
            </w:r>
            <w:r w:rsidDel="00000000" w:rsidR="00000000" w:rsidRPr="00000000">
              <w:rPr>
                <w:color w:val="222222"/>
                <w:sz w:val="18"/>
                <w:szCs w:val="18"/>
                <w:rtl w:val="0"/>
              </w:rPr>
              <w:t xml:space="preserve">moving stop-loss to break-even</w:t>
            </w:r>
            <w:r w:rsidDel="00000000" w:rsidR="00000000" w:rsidRPr="00000000">
              <w:rPr>
                <w:rFonts w:ascii="Calibri" w:cs="Calibri" w:eastAsia="Calibri" w:hAnsi="Calibri"/>
                <w:b w:val="0"/>
                <w:bCs w:val="0"/>
                <w:color w:val="222222"/>
                <w:sz w:val="18"/>
                <w:szCs w:val="18"/>
                <w:rtl w:val="0"/>
              </w:rPr>
              <w:t xml:space="preserve">, ensemble of d</w:t>
            </w:r>
            <w:r w:rsidDel="00000000" w:rsidR="00000000" w:rsidRPr="00000000">
              <w:rPr>
                <w:color w:val="222222"/>
                <w:sz w:val="18"/>
                <w:szCs w:val="18"/>
                <w:rtl w:val="0"/>
              </w:rPr>
              <w:t xml:space="preserve">ifferent LightGBM seeds</w:t>
            </w:r>
            <w:r w:rsidDel="00000000" w:rsidR="00000000" w:rsidRPr="00000000">
              <w:rPr>
                <w:rFonts w:ascii="Calibri" w:cs="Calibri" w:eastAsia="Calibri" w:hAnsi="Calibri"/>
                <w:b w:val="0"/>
                <w:bCs w:val="0"/>
                <w:color w:val="222222"/>
                <w:sz w:val="18"/>
                <w:szCs w:val="18"/>
                <w:rtl w:val="0"/>
              </w:rPr>
              <w:t xml:space="preserve">, feature interactions/complex signals, pruning unnecessary features)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9">
            <w:pPr>
              <w:spacing w:after="0" w:lineRule="auto"/>
              <w:jc w:val="center"/>
              <w:rPr/>
            </w:pPr>
            <w:r w:rsidDel="00000000" w:rsidR="00000000" w:rsidRPr="00000000">
              <w:rPr>
                <w:rFonts w:ascii="Calibri" w:cs="Calibri" w:eastAsia="Calibri" w:hAnsi="Calibri"/>
                <w:color w:val="994444"/>
                <w:sz w:val="18"/>
                <w:szCs w:val="18"/>
                <w:rtl w:val="0"/>
              </w:rPr>
              <w:t xml:space="preserve">All degraded performance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A">
            <w:pPr>
              <w:spacing w:after="0" w:lineRule="auto"/>
              <w:jc w:val="left"/>
              <w:rPr/>
            </w:pPr>
            <w:r w:rsidDel="00000000" w:rsidR="00000000" w:rsidRPr="00000000">
              <w:rPr>
                <w:rFonts w:ascii="Calibri" w:cs="Calibri" w:eastAsia="Calibri" w:hAnsi="Calibri"/>
                <w:b w:val="0"/>
                <w:bCs w:val="0"/>
                <w:color w:val="222222"/>
                <w:sz w:val="18"/>
                <w:szCs w:val="18"/>
                <w:rtl w:val="0"/>
              </w:rPr>
              <w:t xml:space="preserve">15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B">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Port to S&amp;P 500 (ES)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C">
            <w:pPr>
              <w:spacing w:after="0" w:lineRule="auto"/>
              <w:jc w:val="center"/>
              <w:rPr/>
            </w:pPr>
            <w:r w:rsidDel="00000000" w:rsidR="00000000" w:rsidRPr="00000000">
              <w:rPr>
                <w:rFonts w:ascii="Calibri" w:cs="Calibri" w:eastAsia="Calibri" w:hAnsi="Calibri"/>
                <w:color w:val="994444"/>
                <w:sz w:val="18"/>
                <w:szCs w:val="18"/>
                <w:rtl w:val="0"/>
              </w:rPr>
              <w:t xml:space="preserve">Failed </w:t>
            </w:r>
            <w:r w:rsidDel="00000000" w:rsidR="00000000" w:rsidRPr="00000000">
              <w:rPr>
                <w:color w:val="994444"/>
                <w:sz w:val="18"/>
                <w:szCs w:val="18"/>
                <w:rtl w:val="0"/>
              </w:rPr>
              <w:t xml:space="preserve">-</w:t>
            </w:r>
            <w:r w:rsidDel="00000000" w:rsidR="00000000" w:rsidRPr="00000000">
              <w:rPr>
                <w:rFonts w:ascii="Calibri" w:cs="Calibri" w:eastAsia="Calibri" w:hAnsi="Calibri"/>
                <w:color w:val="994444"/>
                <w:sz w:val="18"/>
                <w:szCs w:val="18"/>
                <w:rtl w:val="0"/>
              </w:rPr>
              <w:t xml:space="preserve"> strategy is NQ-specific</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D">
            <w:pPr>
              <w:spacing w:after="0" w:lineRule="auto"/>
              <w:jc w:val="left"/>
              <w:rPr/>
            </w:pPr>
            <w:r w:rsidDel="00000000" w:rsidR="00000000" w:rsidRPr="00000000">
              <w:rPr>
                <w:rFonts w:ascii="Calibri" w:cs="Calibri" w:eastAsia="Calibri" w:hAnsi="Calibri"/>
                <w:b w:val="0"/>
                <w:bCs w:val="0"/>
                <w:color w:val="222222"/>
                <w:sz w:val="18"/>
                <w:szCs w:val="18"/>
                <w:rtl w:val="0"/>
              </w:rPr>
              <w:t xml:space="preserve">16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E">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GBDT ensemble (XGB+LGB+Cat)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F">
            <w:pPr>
              <w:jc w:val="center"/>
              <w:rPr>
                <w:color w:val="888888"/>
              </w:rPr>
            </w:pPr>
            <w:r w:rsidDel="00000000" w:rsidR="00000000" w:rsidRPr="00000000">
              <w:rPr>
                <w:color w:val="888888"/>
                <w:sz w:val="18"/>
                <w:szCs w:val="18"/>
                <w:rtl w:val="0"/>
              </w:rPr>
              <w:t xml:space="preserve">Planned, never completed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0">
            <w:pPr>
              <w:spacing w:after="0" w:lineRule="auto"/>
              <w:jc w:val="left"/>
              <w:rPr/>
            </w:pPr>
            <w:r w:rsidDel="00000000" w:rsidR="00000000" w:rsidRPr="00000000">
              <w:rPr>
                <w:rFonts w:ascii="Calibri" w:cs="Calibri" w:eastAsia="Calibri" w:hAnsi="Calibri"/>
                <w:b w:val="0"/>
                <w:bCs w:val="0"/>
                <w:color w:val="222222"/>
                <w:sz w:val="18"/>
                <w:szCs w:val="18"/>
                <w:rtl w:val="0"/>
              </w:rPr>
              <w:t xml:space="preserve">17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1">
            <w:pPr>
              <w:spacing w:after="0" w:lineRule="auto"/>
              <w:jc w:val="center"/>
              <w:rPr/>
            </w:pPr>
            <w:r w:rsidDel="00000000" w:rsidR="00000000" w:rsidRPr="00000000">
              <w:rPr>
                <w:color w:val="222222"/>
                <w:sz w:val="18"/>
                <w:szCs w:val="18"/>
                <w:rtl w:val="0"/>
              </w:rPr>
              <w:t xml:space="preserve">Publicly-taught</w:t>
            </w:r>
            <w:r w:rsidDel="00000000" w:rsidR="00000000" w:rsidRPr="00000000">
              <w:rPr>
                <w:rFonts w:ascii="Calibri" w:cs="Calibri" w:eastAsia="Calibri" w:hAnsi="Calibri"/>
                <w:b w:val="0"/>
                <w:bCs w:val="0"/>
                <w:color w:val="222222"/>
                <w:sz w:val="18"/>
                <w:szCs w:val="18"/>
                <w:rtl w:val="0"/>
              </w:rPr>
              <w:t xml:space="preserve"> top-down </w:t>
            </w:r>
            <w:r w:rsidDel="00000000" w:rsidR="00000000" w:rsidRPr="00000000">
              <w:rPr>
                <w:color w:val="222222"/>
                <w:sz w:val="18"/>
                <w:szCs w:val="18"/>
                <w:rtl w:val="0"/>
              </w:rPr>
              <w:t xml:space="preserve">ICT playbook</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2">
            <w:pPr>
              <w:spacing w:after="0" w:lineRule="auto"/>
              <w:jc w:val="center"/>
              <w:rPr/>
            </w:pPr>
            <w:r w:rsidDel="00000000" w:rsidR="00000000" w:rsidRPr="00000000">
              <w:rPr>
                <w:rFonts w:ascii="Calibri" w:cs="Calibri" w:eastAsia="Calibri" w:hAnsi="Calibri"/>
                <w:color w:val="994444"/>
                <w:sz w:val="18"/>
                <w:szCs w:val="18"/>
                <w:rtl w:val="0"/>
              </w:rPr>
              <w:t xml:space="preserve">Failed </w:t>
            </w:r>
            <w:r w:rsidDel="00000000" w:rsidR="00000000" w:rsidRPr="00000000">
              <w:rPr>
                <w:color w:val="994444"/>
                <w:sz w:val="18"/>
                <w:szCs w:val="18"/>
                <w:rtl w:val="0"/>
              </w:rPr>
              <w:t xml:space="preserve">-</w:t>
            </w:r>
            <w:r w:rsidDel="00000000" w:rsidR="00000000" w:rsidRPr="00000000">
              <w:rPr>
                <w:rFonts w:ascii="Calibri" w:cs="Calibri" w:eastAsia="Calibri" w:hAnsi="Calibri"/>
                <w:color w:val="994444"/>
                <w:sz w:val="18"/>
                <w:szCs w:val="18"/>
                <w:rtl w:val="0"/>
              </w:rPr>
              <w:t xml:space="preserve"> ≈ random entries (Section 6)</w:t>
            </w:r>
            <w:r w:rsidDel="00000000" w:rsidR="00000000" w:rsidRPr="00000000">
              <w:rPr>
                <w:rtl w:val="0"/>
              </w:rPr>
            </w:r>
          </w:p>
        </w:tc>
      </w:tr>
    </w:tbl>
    <w:p w:rsidR="00000000" w:rsidDel="00000000" w:rsidP="00000000" w:rsidRDefault="00000000" w:rsidRPr="00000000" w14:paraId="00000043">
      <w:pPr>
        <w:spacing w:after="120" w:lineRule="auto"/>
        <w:rPr/>
      </w:pPr>
      <w:r w:rsidDel="00000000" w:rsidR="00000000" w:rsidRPr="00000000">
        <w:rPr>
          <w:rtl w:val="0"/>
        </w:rPr>
      </w:r>
    </w:p>
    <w:p w:rsidR="00000000" w:rsidDel="00000000" w:rsidP="00000000" w:rsidRDefault="00000000" w:rsidRPr="00000000" w14:paraId="00000044">
      <w:pPr>
        <w:pStyle w:val="Heading1"/>
        <w:spacing w:after="160" w:before="320" w:lineRule="auto"/>
        <w:rPr>
          <w:color w:val="000000"/>
        </w:rPr>
      </w:pPr>
      <w:r w:rsidDel="00000000" w:rsidR="00000000" w:rsidRPr="00000000">
        <w:rPr>
          <w:rFonts w:ascii="Calibri" w:cs="Calibri" w:eastAsia="Calibri" w:hAnsi="Calibri"/>
          <w:b w:val="1"/>
          <w:bCs w:val="1"/>
          <w:color w:val="000000"/>
          <w:sz w:val="30"/>
          <w:szCs w:val="30"/>
          <w:rtl w:val="0"/>
        </w:rPr>
        <w:t xml:space="preserve">4. The Headline Result </w:t>
      </w:r>
      <w:r w:rsidDel="00000000" w:rsidR="00000000" w:rsidRPr="00000000">
        <w:rPr>
          <w:b w:val="1"/>
          <w:bCs w:val="1"/>
          <w:color w:val="000000"/>
          <w:sz w:val="30"/>
          <w:szCs w:val="30"/>
          <w:rtl w:val="0"/>
        </w:rPr>
        <w:t xml:space="preserve">-</w:t>
      </w:r>
      <w:r w:rsidDel="00000000" w:rsidR="00000000" w:rsidRPr="00000000">
        <w:rPr>
          <w:rFonts w:ascii="Calibri" w:cs="Calibri" w:eastAsia="Calibri" w:hAnsi="Calibri"/>
          <w:b w:val="1"/>
          <w:bCs w:val="1"/>
          <w:color w:val="000000"/>
          <w:sz w:val="30"/>
          <w:szCs w:val="30"/>
          <w:rtl w:val="0"/>
        </w:rPr>
        <w:t xml:space="preserve"> and Why It Demanded Skepticism</w:t>
      </w:r>
      <w:r w:rsidDel="00000000" w:rsidR="00000000" w:rsidRPr="00000000">
        <w:rPr>
          <w:rtl w:val="0"/>
        </w:rPr>
      </w:r>
    </w:p>
    <w:p w:rsidR="00000000" w:rsidDel="00000000" w:rsidP="00000000" w:rsidRDefault="00000000" w:rsidRPr="00000000" w14:paraId="00000045">
      <w:pPr>
        <w:spacing w:after="160" w:before="0" w:lineRule="auto"/>
        <w:rPr/>
      </w:pPr>
      <w:r w:rsidDel="00000000" w:rsidR="00000000" w:rsidRPr="00000000">
        <w:rPr>
          <w:rFonts w:ascii="Calibri" w:cs="Calibri" w:eastAsia="Calibri" w:hAnsi="Calibri"/>
          <w:sz w:val="21"/>
          <w:szCs w:val="21"/>
          <w:rtl w:val="0"/>
        </w:rPr>
        <w:t xml:space="preserve">Phase 11 produced the project’s best configuration: a 6-month chronological training window with a constant 0.25 probability threshold, NY-session entries, a 60-point risk cap, and split exits. </w:t>
      </w:r>
      <w:r w:rsidDel="00000000" w:rsidR="00000000" w:rsidRPr="00000000">
        <w:rPr>
          <w:rtl w:val="0"/>
        </w:rPr>
        <w:t xml:space="preserve">I</w:t>
      </w:r>
      <w:r w:rsidDel="00000000" w:rsidR="00000000" w:rsidRPr="00000000">
        <w:rPr>
          <w:rFonts w:ascii="Calibri" w:cs="Calibri" w:eastAsia="Calibri" w:hAnsi="Calibri"/>
          <w:sz w:val="21"/>
          <w:szCs w:val="21"/>
          <w:rtl w:val="0"/>
        </w:rPr>
        <w:t xml:space="preserve">t </w:t>
      </w:r>
      <w:r w:rsidDel="00000000" w:rsidR="00000000" w:rsidRPr="00000000">
        <w:rPr>
          <w:rtl w:val="0"/>
        </w:rPr>
        <w:t xml:space="preserve">appeared to deliver </w:t>
      </w:r>
      <w:r w:rsidDel="00000000" w:rsidR="00000000" w:rsidRPr="00000000">
        <w:rPr>
          <w:rFonts w:ascii="Calibri" w:cs="Calibri" w:eastAsia="Calibri" w:hAnsi="Calibri"/>
          <w:sz w:val="21"/>
          <w:szCs w:val="21"/>
          <w:rtl w:val="0"/>
        </w:rPr>
        <w:t xml:space="preserve">+17.72% average annual return, 0.96 average Sharpe, and 11.48% average max drawdown over 2016</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2026 (~422 trades/year)</w:t>
      </w:r>
      <w:r w:rsidDel="00000000" w:rsidR="00000000" w:rsidRPr="00000000">
        <w:rPr>
          <w:rtl w:val="0"/>
        </w:rPr>
        <w:t xml:space="preserve">, vastly beating out the S&amp;P 500 stock index. Naturally, such a significant edge warranted careful and rigorous validation.</w:t>
      </w:r>
    </w:p>
    <w:p w:rsidR="00000000" w:rsidDel="00000000" w:rsidP="00000000" w:rsidRDefault="00000000" w:rsidRPr="00000000" w14:paraId="00000046">
      <w:pPr>
        <w:spacing w:after="160" w:before="0" w:lineRule="auto"/>
        <w:rPr/>
      </w:pPr>
      <w:r w:rsidDel="00000000" w:rsidR="00000000" w:rsidRPr="00000000">
        <w:rPr>
          <w:rFonts w:ascii="Calibri" w:cs="Calibri" w:eastAsia="Calibri" w:hAnsi="Calibri"/>
          <w:sz w:val="21"/>
          <w:szCs w:val="21"/>
          <w:rtl w:val="0"/>
        </w:rPr>
        <w:t xml:space="preserve">Three properties of th</w:t>
      </w:r>
      <w:r w:rsidDel="00000000" w:rsidR="00000000" w:rsidRPr="00000000">
        <w:rPr>
          <w:rtl w:val="0"/>
        </w:rPr>
        <w:t xml:space="preserve">e phase 11 configuration warranted further examination</w:t>
      </w:r>
      <w:r w:rsidDel="00000000" w:rsidR="00000000" w:rsidRPr="00000000">
        <w:rPr>
          <w:rFonts w:ascii="Calibri" w:cs="Calibri" w:eastAsia="Calibri" w:hAnsi="Calibri"/>
          <w:sz w:val="21"/>
          <w:szCs w:val="21"/>
          <w:rtl w:val="0"/>
        </w:rPr>
        <w:t xml:space="preserve">: its probability threshold was selected from configurations evaluated on </w:t>
      </w:r>
      <w:r w:rsidDel="00000000" w:rsidR="00000000" w:rsidRPr="00000000">
        <w:rPr>
          <w:rtl w:val="0"/>
        </w:rPr>
        <w:t xml:space="preserve">the whole 11-year dataset rather than what was available at each trade</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transaction costs were incorrectly assumed to be near zero over 400 trades/year</w:t>
      </w:r>
      <w:r w:rsidDel="00000000" w:rsidR="00000000" w:rsidRPr="00000000">
        <w:rPr>
          <w:rFonts w:ascii="Calibri" w:cs="Calibri" w:eastAsia="Calibri" w:hAnsi="Calibri"/>
          <w:sz w:val="21"/>
          <w:szCs w:val="21"/>
          <w:rtl w:val="0"/>
        </w:rPr>
        <w:t xml:space="preserve">; and its metric conventions (averaging per-year Sharpes computed from 12 monthly points; averaging per-year drawdowns) </w:t>
      </w:r>
      <w:r w:rsidDel="00000000" w:rsidR="00000000" w:rsidRPr="00000000">
        <w:rPr>
          <w:rtl w:val="0"/>
        </w:rPr>
        <w:t xml:space="preserve">were statistically flattering but incorrect</w:t>
      </w:r>
      <w:r w:rsidDel="00000000" w:rsidR="00000000" w:rsidRPr="00000000">
        <w:rPr>
          <w:rFonts w:ascii="Calibri" w:cs="Calibri" w:eastAsia="Calibri" w:hAnsi="Calibri"/>
          <w:sz w:val="21"/>
          <w:szCs w:val="21"/>
          <w:rtl w:val="0"/>
        </w:rPr>
        <w:t xml:space="preserve">.</w:t>
      </w:r>
      <w:r w:rsidDel="00000000" w:rsidR="00000000" w:rsidRPr="00000000">
        <w:rPr>
          <w:rtl w:val="0"/>
        </w:rPr>
      </w:r>
    </w:p>
    <w:p w:rsidR="00000000" w:rsidDel="00000000" w:rsidP="00000000" w:rsidRDefault="00000000" w:rsidRPr="00000000" w14:paraId="00000047">
      <w:pPr>
        <w:pStyle w:val="Heading1"/>
        <w:spacing w:after="160" w:before="320" w:lineRule="auto"/>
        <w:rPr>
          <w:color w:val="000000"/>
        </w:rPr>
      </w:pPr>
      <w:r w:rsidDel="00000000" w:rsidR="00000000" w:rsidRPr="00000000">
        <w:rPr>
          <w:rFonts w:ascii="Calibri" w:cs="Calibri" w:eastAsia="Calibri" w:hAnsi="Calibri"/>
          <w:b w:val="1"/>
          <w:bCs w:val="1"/>
          <w:color w:val="000000"/>
          <w:sz w:val="30"/>
          <w:szCs w:val="30"/>
          <w:rtl w:val="0"/>
        </w:rPr>
        <w:t xml:space="preserve">5. Validation </w:t>
      </w:r>
      <w:r w:rsidDel="00000000" w:rsidR="00000000" w:rsidRPr="00000000">
        <w:rPr>
          <w:b w:val="1"/>
          <w:bCs w:val="1"/>
          <w:color w:val="000000"/>
          <w:sz w:val="30"/>
          <w:szCs w:val="30"/>
          <w:rtl w:val="0"/>
        </w:rPr>
        <w:t xml:space="preserve">Tests</w:t>
      </w:r>
      <w:r w:rsidDel="00000000" w:rsidR="00000000" w:rsidRPr="00000000">
        <w:rPr>
          <w:rtl w:val="0"/>
        </w:rPr>
      </w:r>
    </w:p>
    <w:p w:rsidR="00000000" w:rsidDel="00000000" w:rsidP="00000000" w:rsidRDefault="00000000" w:rsidRPr="00000000" w14:paraId="00000048">
      <w:pPr>
        <w:pStyle w:val="Heading2"/>
        <w:spacing w:after="120" w:before="240" w:lineRule="auto"/>
        <w:rPr>
          <w:color w:val="000000"/>
        </w:rPr>
      </w:pPr>
      <w:r w:rsidDel="00000000" w:rsidR="00000000" w:rsidRPr="00000000">
        <w:rPr>
          <w:rFonts w:ascii="Calibri" w:cs="Calibri" w:eastAsia="Calibri" w:hAnsi="Calibri"/>
          <w:b w:val="1"/>
          <w:bCs w:val="1"/>
          <w:color w:val="000000"/>
          <w:sz w:val="24"/>
          <w:szCs w:val="24"/>
          <w:rtl w:val="0"/>
        </w:rPr>
        <w:t xml:space="preserve">5.1 Transaction costs</w:t>
      </w:r>
      <w:r w:rsidDel="00000000" w:rsidR="00000000" w:rsidRPr="00000000">
        <w:rPr>
          <w:rtl w:val="0"/>
        </w:rPr>
      </w:r>
    </w:p>
    <w:p w:rsidR="00000000" w:rsidDel="00000000" w:rsidP="00000000" w:rsidRDefault="00000000" w:rsidRPr="00000000" w14:paraId="00000049">
      <w:pPr>
        <w:spacing w:after="160" w:before="0" w:lineRule="auto"/>
        <w:rPr/>
      </w:pPr>
      <w:r w:rsidDel="00000000" w:rsidR="00000000" w:rsidRPr="00000000">
        <w:rPr>
          <w:rFonts w:ascii="Calibri" w:cs="Calibri" w:eastAsia="Calibri" w:hAnsi="Calibri"/>
          <w:sz w:val="21"/>
          <w:szCs w:val="21"/>
          <w:rtl w:val="0"/>
        </w:rPr>
        <w:t xml:space="preserve">Cost model: $4.60 all-in round-turn commission per NQ contract (1.6 NQ ≈ the strategy’s $32/point exposure) plus one tick of slippage on stop-side exits (scenario A); scenario B adds one tick of entry slippage and two-tick stops. The strategy’s gross expectancy is only ~$37</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42 per trade, so fixed per-trade frictions consume 36</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74% of the edge. </w:t>
      </w:r>
      <w:r w:rsidDel="00000000" w:rsidR="00000000" w:rsidRPr="00000000">
        <w:rPr>
          <w:rtl w:val="0"/>
        </w:rPr>
        <w:t xml:space="preserve">Considering that this strategy was originally implemented for MNQ and that it is not possible to trade fractions of NQ contracts implies even these figures may be too optimistic.</w:t>
      </w:r>
    </w:p>
    <w:p w:rsidR="00000000" w:rsidDel="00000000" w:rsidP="00000000" w:rsidRDefault="00000000" w:rsidRPr="00000000" w14:paraId="0000004A">
      <w:pPr>
        <w:spacing w:after="40" w:before="120" w:lineRule="auto"/>
        <w:jc w:val="center"/>
        <w:rPr/>
      </w:pPr>
      <w:r w:rsidDel="00000000" w:rsidR="00000000" w:rsidRPr="00000000">
        <w:rPr/>
        <w:drawing>
          <wp:inline distB="0" distT="0" distL="0" distR="0">
            <wp:extent cx="6096000" cy="27432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0960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200" w:lineRule="auto"/>
        <w:jc w:val="center"/>
        <w:rPr/>
      </w:pPr>
      <w:r w:rsidDel="00000000" w:rsidR="00000000" w:rsidRPr="00000000">
        <w:rPr>
          <w:rFonts w:ascii="Calibri" w:cs="Calibri" w:eastAsia="Calibri" w:hAnsi="Calibri"/>
          <w:i w:val="1"/>
          <w:iCs w:val="1"/>
          <w:color w:val="666666"/>
          <w:sz w:val="18"/>
          <w:szCs w:val="18"/>
          <w:rtl w:val="0"/>
        </w:rPr>
        <w:t xml:space="preserve">Figure 1 </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 Baseline equity curve, gross vs. two cost scenarios. Costs convert a rising equity line into a marginal one.</w:t>
      </w:r>
      <w:r w:rsidDel="00000000" w:rsidR="00000000" w:rsidRPr="00000000">
        <w:rPr>
          <w:rtl w:val="0"/>
        </w:rPr>
      </w:r>
    </w:p>
    <w:p w:rsidR="00000000" w:rsidDel="00000000" w:rsidP="00000000" w:rsidRDefault="00000000" w:rsidRPr="00000000" w14:paraId="0000004C">
      <w:pPr>
        <w:pStyle w:val="Heading2"/>
        <w:spacing w:after="120" w:before="240" w:lineRule="auto"/>
        <w:rPr>
          <w:color w:val="000000"/>
        </w:rPr>
      </w:pPr>
      <w:r w:rsidDel="00000000" w:rsidR="00000000" w:rsidRPr="00000000">
        <w:rPr>
          <w:rFonts w:ascii="Calibri" w:cs="Calibri" w:eastAsia="Calibri" w:hAnsi="Calibri"/>
          <w:b w:val="1"/>
          <w:bCs w:val="1"/>
          <w:color w:val="000000"/>
          <w:sz w:val="24"/>
          <w:szCs w:val="24"/>
          <w:rtl w:val="0"/>
        </w:rPr>
        <w:t xml:space="preserve">5.2 Re-evaluating under </w:t>
      </w:r>
      <w:r w:rsidDel="00000000" w:rsidR="00000000" w:rsidRPr="00000000">
        <w:rPr>
          <w:b w:val="1"/>
          <w:bCs w:val="1"/>
          <w:color w:val="000000"/>
          <w:sz w:val="24"/>
          <w:szCs w:val="24"/>
          <w:rtl w:val="0"/>
        </w:rPr>
        <w:t xml:space="preserve">standard </w:t>
      </w:r>
      <w:r w:rsidDel="00000000" w:rsidR="00000000" w:rsidRPr="00000000">
        <w:rPr>
          <w:rFonts w:ascii="Calibri" w:cs="Calibri" w:eastAsia="Calibri" w:hAnsi="Calibri"/>
          <w:b w:val="1"/>
          <w:bCs w:val="1"/>
          <w:color w:val="000000"/>
          <w:sz w:val="24"/>
          <w:szCs w:val="24"/>
          <w:rtl w:val="0"/>
        </w:rPr>
        <w:t xml:space="preserve">metric conventions</w:t>
      </w:r>
      <w:r w:rsidDel="00000000" w:rsidR="00000000" w:rsidRPr="00000000">
        <w:rPr>
          <w:rtl w:val="0"/>
        </w:rPr>
      </w:r>
    </w:p>
    <w:tbl>
      <w:tblPr>
        <w:tblStyle w:val="Table2"/>
        <w:tblW w:w="9600.0" w:type="dxa"/>
        <w:jc w:val="left"/>
        <w:tblBorders>
          <w:top w:color="bbbbbb" w:space="0" w:sz="4" w:val="single"/>
          <w:left w:color="000000" w:space="0" w:sz="0" w:val="nil"/>
          <w:bottom w:color="bbbbbb" w:space="0" w:sz="4" w:val="single"/>
          <w:right w:color="000000" w:space="0" w:sz="0" w:val="nil"/>
          <w:insideH w:color="dddddd" w:space="0" w:sz="4" w:val="single"/>
          <w:insideV w:color="000000" w:space="0" w:sz="0" w:val="nil"/>
        </w:tblBorders>
        <w:tblLayout w:type="fixed"/>
        <w:tblLook w:val="0000"/>
      </w:tblPr>
      <w:tblGrid>
        <w:gridCol w:w="1750"/>
        <w:gridCol w:w="2000"/>
        <w:gridCol w:w="2100"/>
        <w:gridCol w:w="1900"/>
        <w:gridCol w:w="1850"/>
        <w:tblGridChange w:id="0">
          <w:tblGrid>
            <w:gridCol w:w="1750"/>
            <w:gridCol w:w="2000"/>
            <w:gridCol w:w="2100"/>
            <w:gridCol w:w="1900"/>
            <w:gridCol w:w="185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4D">
            <w:pPr>
              <w:spacing w:after="0" w:lineRule="auto"/>
              <w:jc w:val="left"/>
              <w:rPr/>
            </w:pPr>
            <w:r w:rsidDel="00000000" w:rsidR="00000000" w:rsidRPr="00000000">
              <w:rPr>
                <w:rFonts w:ascii="Calibri" w:cs="Calibri" w:eastAsia="Calibri" w:hAnsi="Calibri"/>
                <w:b w:val="1"/>
                <w:bCs w:val="1"/>
                <w:color w:val="ffffff"/>
                <w:sz w:val="18"/>
                <w:szCs w:val="18"/>
                <w:rtl w:val="0"/>
              </w:rPr>
              <w:t xml:space="preserve">Metric</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4E">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As reported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4F">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Corrected (gross)</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50">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Net, scenario 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51">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Net, scenario B</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2">
            <w:pPr>
              <w:spacing w:after="0" w:lineRule="auto"/>
              <w:jc w:val="left"/>
              <w:rPr/>
            </w:pPr>
            <w:r w:rsidDel="00000000" w:rsidR="00000000" w:rsidRPr="00000000">
              <w:rPr>
                <w:rFonts w:ascii="Calibri" w:cs="Calibri" w:eastAsia="Calibri" w:hAnsi="Calibri"/>
                <w:b w:val="0"/>
                <w:bCs w:val="0"/>
                <w:color w:val="222222"/>
                <w:sz w:val="18"/>
                <w:szCs w:val="18"/>
                <w:rtl w:val="0"/>
              </w:rPr>
              <w:t xml:space="preserve">Sharpe ratio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3">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0.96 (avg of yearly)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4">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0.59</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0.62 (pooled)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5">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0.40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6">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0.22</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7">
            <w:pPr>
              <w:spacing w:after="0" w:lineRule="auto"/>
              <w:jc w:val="left"/>
              <w:rPr/>
            </w:pPr>
            <w:r w:rsidDel="00000000" w:rsidR="00000000" w:rsidRPr="00000000">
              <w:rPr>
                <w:rFonts w:ascii="Calibri" w:cs="Calibri" w:eastAsia="Calibri" w:hAnsi="Calibri"/>
                <w:b w:val="0"/>
                <w:bCs w:val="0"/>
                <w:color w:val="222222"/>
                <w:sz w:val="18"/>
                <w:szCs w:val="18"/>
                <w:rtl w:val="0"/>
              </w:rPr>
              <w:t xml:space="preserve">Return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8">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17.7% (avg yearly)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9">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7.5</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15.3% CAGR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A">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5.4%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B">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2.5%</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C">
            <w:pPr>
              <w:spacing w:after="0" w:lineRule="auto"/>
              <w:jc w:val="left"/>
              <w:rPr/>
            </w:pPr>
            <w:r w:rsidDel="00000000" w:rsidR="00000000" w:rsidRPr="00000000">
              <w:rPr>
                <w:rFonts w:ascii="Calibri" w:cs="Calibri" w:eastAsia="Calibri" w:hAnsi="Calibri"/>
                <w:b w:val="0"/>
                <w:bCs w:val="0"/>
                <w:color w:val="222222"/>
                <w:sz w:val="18"/>
                <w:szCs w:val="18"/>
                <w:rtl w:val="0"/>
              </w:rPr>
              <w:t xml:space="preserve">Max drawdown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D">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11.5% (avg yearly)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E">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24</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36% (full period)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F">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33%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0">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45%</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1">
            <w:pPr>
              <w:spacing w:after="0" w:lineRule="auto"/>
              <w:jc w:val="left"/>
              <w:rPr/>
            </w:pPr>
            <w:r w:rsidDel="00000000" w:rsidR="00000000" w:rsidRPr="00000000">
              <w:rPr>
                <w:rFonts w:ascii="Calibri" w:cs="Calibri" w:eastAsia="Calibri" w:hAnsi="Calibri"/>
                <w:b w:val="0"/>
                <w:bCs w:val="0"/>
                <w:color w:val="222222"/>
                <w:sz w:val="18"/>
                <w:szCs w:val="18"/>
                <w:rtl w:val="0"/>
              </w:rPr>
              <w:t xml:space="preserve">Calmar ratio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2">
            <w:pPr>
              <w:spacing w:after="0" w:lineRule="auto"/>
              <w:jc w:val="center"/>
              <w:rPr/>
            </w:pP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1.5 (implied)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3">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0.31</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0.42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4">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0.16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0.06</w:t>
            </w:r>
            <w:r w:rsidDel="00000000" w:rsidR="00000000" w:rsidRPr="00000000">
              <w:rPr>
                <w:rtl w:val="0"/>
              </w:rPr>
            </w:r>
          </w:p>
        </w:tc>
      </w:tr>
    </w:tbl>
    <w:p w:rsidR="00000000" w:rsidDel="00000000" w:rsidP="00000000" w:rsidRDefault="00000000" w:rsidRPr="00000000" w14:paraId="00000066">
      <w:pPr>
        <w:spacing w:after="60" w:lineRule="auto"/>
        <w:rPr/>
      </w:pPr>
      <w:r w:rsidDel="00000000" w:rsidR="00000000" w:rsidRPr="00000000">
        <w:rPr>
          <w:rtl w:val="0"/>
        </w:rPr>
      </w:r>
    </w:p>
    <w:p w:rsidR="00000000" w:rsidDel="00000000" w:rsidP="00000000" w:rsidRDefault="00000000" w:rsidRPr="00000000" w14:paraId="00000067">
      <w:pPr>
        <w:spacing w:after="160" w:before="0" w:lineRule="auto"/>
        <w:rPr/>
      </w:pPr>
      <w:r w:rsidDel="00000000" w:rsidR="00000000" w:rsidRPr="00000000">
        <w:rPr>
          <w:rFonts w:ascii="Calibri" w:cs="Calibri" w:eastAsia="Calibri" w:hAnsi="Calibri"/>
          <w:sz w:val="21"/>
          <w:szCs w:val="21"/>
          <w:rtl w:val="0"/>
        </w:rPr>
        <w:t xml:space="preserve">Corrected</w:t>
      </w:r>
      <w:r w:rsidDel="00000000" w:rsidR="00000000" w:rsidRPr="00000000">
        <w:rPr>
          <w:rtl w:val="0"/>
        </w:rPr>
        <w:t xml:space="preserve"> numbers (pooled monthly Sharpe vs. average, full-period max drawdown rather than average of yearly max drawdowns) using standard metrics reveal that trading commissions take away much of the strategy’s edge</w:t>
      </w:r>
      <w:r w:rsidDel="00000000" w:rsidR="00000000" w:rsidRPr="00000000">
        <w:rPr>
          <w:rFonts w:ascii="Calibri" w:cs="Calibri" w:eastAsia="Calibri" w:hAnsi="Calibri"/>
          <w:sz w:val="21"/>
          <w:szCs w:val="21"/>
          <w:rtl w:val="0"/>
        </w:rPr>
        <w:t xml:space="preserve">. </w:t>
      </w:r>
      <w:r w:rsidDel="00000000" w:rsidR="00000000" w:rsidRPr="00000000">
        <w:rPr>
          <w:rtl w:val="0"/>
        </w:rPr>
      </w:r>
    </w:p>
    <w:p w:rsidR="00000000" w:rsidDel="00000000" w:rsidP="00000000" w:rsidRDefault="00000000" w:rsidRPr="00000000" w14:paraId="00000068">
      <w:pPr>
        <w:pStyle w:val="Heading2"/>
        <w:spacing w:after="120" w:before="240" w:lineRule="auto"/>
        <w:rPr>
          <w:color w:val="000000"/>
        </w:rPr>
      </w:pPr>
      <w:r w:rsidDel="00000000" w:rsidR="00000000" w:rsidRPr="00000000">
        <w:rPr>
          <w:rFonts w:ascii="Calibri" w:cs="Calibri" w:eastAsia="Calibri" w:hAnsi="Calibri"/>
          <w:b w:val="1"/>
          <w:bCs w:val="1"/>
          <w:color w:val="000000"/>
          <w:sz w:val="24"/>
          <w:szCs w:val="24"/>
          <w:rtl w:val="0"/>
        </w:rPr>
        <w:t xml:space="preserve">5.3 Nested walk-forward: measuring selection bias</w:t>
      </w:r>
      <w:r w:rsidDel="00000000" w:rsidR="00000000" w:rsidRPr="00000000">
        <w:rPr>
          <w:rtl w:val="0"/>
        </w:rPr>
      </w:r>
    </w:p>
    <w:p w:rsidR="00000000" w:rsidDel="00000000" w:rsidP="00000000" w:rsidRDefault="00000000" w:rsidRPr="00000000" w14:paraId="00000069">
      <w:pPr>
        <w:spacing w:after="160" w:before="0" w:lineRule="auto"/>
        <w:rPr/>
      </w:pPr>
      <w:r w:rsidDel="00000000" w:rsidR="00000000" w:rsidRPr="00000000">
        <w:rPr>
          <w:rFonts w:ascii="Calibri" w:cs="Calibri" w:eastAsia="Calibri" w:hAnsi="Calibri"/>
          <w:sz w:val="21"/>
          <w:szCs w:val="21"/>
          <w:rtl w:val="0"/>
        </w:rPr>
        <w:t xml:space="preserve">The window and threshold were originally chosen </w:t>
      </w:r>
      <w:r w:rsidDel="00000000" w:rsidR="00000000" w:rsidRPr="00000000">
        <w:rPr>
          <w:rtl w:val="0"/>
        </w:rPr>
        <w:t xml:space="preserve">using</w:t>
      </w:r>
      <w:r w:rsidDel="00000000" w:rsidR="00000000" w:rsidRPr="00000000">
        <w:rPr>
          <w:rFonts w:ascii="Calibri" w:cs="Calibri" w:eastAsia="Calibri" w:hAnsi="Calibri"/>
          <w:sz w:val="21"/>
          <w:szCs w:val="21"/>
          <w:rtl w:val="0"/>
        </w:rPr>
        <w:t xml:space="preserve"> the full sample data. To measure the cost of that hindsight, a nested protocol re-selected the configuration each year using only prior data (12-cell grid), then traded the following year with it. The honest procedure earns a 0.19 pooled Sharpe and 1.8% CAGR net </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 roughly half of the fixed-configuration result vanishes, and the nested selections </w:t>
      </w:r>
      <w:r w:rsidDel="00000000" w:rsidR="00000000" w:rsidRPr="00000000">
        <w:rPr>
          <w:rFonts w:ascii="Calibri" w:cs="Calibri" w:eastAsia="Calibri" w:hAnsi="Calibri"/>
          <w:sz w:val="21"/>
          <w:szCs w:val="21"/>
          <w:rtl w:val="0"/>
        </w:rPr>
        <w:t xml:space="preserve">lost</w:t>
      </w:r>
      <w:r w:rsidDel="00000000" w:rsidR="00000000" w:rsidRPr="00000000">
        <w:rPr>
          <w:rFonts w:ascii="Calibri" w:cs="Calibri" w:eastAsia="Calibri" w:hAnsi="Calibri"/>
          <w:sz w:val="21"/>
          <w:szCs w:val="21"/>
          <w:rtl w:val="0"/>
        </w:rPr>
        <w:t xml:space="preserve"> money in 2024, 2025, and the first half of 2026.</w:t>
      </w:r>
      <w:r w:rsidDel="00000000" w:rsidR="00000000" w:rsidRPr="00000000">
        <w:rPr>
          <w:rtl w:val="0"/>
        </w:rPr>
      </w:r>
    </w:p>
    <w:p w:rsidR="00000000" w:rsidDel="00000000" w:rsidP="00000000" w:rsidRDefault="00000000" w:rsidRPr="00000000" w14:paraId="0000006A">
      <w:pPr>
        <w:spacing w:after="40" w:before="120" w:lineRule="auto"/>
        <w:jc w:val="center"/>
        <w:rPr/>
      </w:pPr>
      <w:r w:rsidDel="00000000" w:rsidR="00000000" w:rsidRPr="00000000">
        <w:rPr/>
        <w:drawing>
          <wp:inline distB="0" distT="0" distL="0" distR="0">
            <wp:extent cx="6096000" cy="274320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0960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200" w:lineRule="auto"/>
        <w:jc w:val="center"/>
        <w:rPr/>
      </w:pPr>
      <w:r w:rsidDel="00000000" w:rsidR="00000000" w:rsidRPr="00000000">
        <w:rPr>
          <w:rFonts w:ascii="Calibri" w:cs="Calibri" w:eastAsia="Calibri" w:hAnsi="Calibri"/>
          <w:i w:val="1"/>
          <w:iCs w:val="1"/>
          <w:color w:val="666666"/>
          <w:sz w:val="18"/>
          <w:szCs w:val="18"/>
          <w:rtl w:val="0"/>
        </w:rPr>
        <w:t xml:space="preserve">Figure 2 </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 Hindsight configuration vs. nested (prior-data-only) selection, net of costs, 2018</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2026.</w:t>
      </w:r>
      <w:r w:rsidDel="00000000" w:rsidR="00000000" w:rsidRPr="00000000">
        <w:rPr>
          <w:rtl w:val="0"/>
        </w:rPr>
      </w:r>
    </w:p>
    <w:p w:rsidR="00000000" w:rsidDel="00000000" w:rsidP="00000000" w:rsidRDefault="00000000" w:rsidRPr="00000000" w14:paraId="0000006C">
      <w:pPr>
        <w:pStyle w:val="Heading2"/>
        <w:spacing w:after="120" w:before="240" w:lineRule="auto"/>
        <w:rPr>
          <w:color w:val="000000"/>
        </w:rPr>
      </w:pPr>
      <w:r w:rsidDel="00000000" w:rsidR="00000000" w:rsidRPr="00000000">
        <w:rPr>
          <w:rFonts w:ascii="Calibri" w:cs="Calibri" w:eastAsia="Calibri" w:hAnsi="Calibri"/>
          <w:b w:val="1"/>
          <w:bCs w:val="1"/>
          <w:color w:val="000000"/>
          <w:sz w:val="24"/>
          <w:szCs w:val="24"/>
          <w:rtl w:val="0"/>
        </w:rPr>
        <w:t xml:space="preserve">5.4 Data integrity</w:t>
      </w:r>
      <w:r w:rsidDel="00000000" w:rsidR="00000000" w:rsidRPr="00000000">
        <w:rPr>
          <w:rtl w:val="0"/>
        </w:rPr>
      </w:r>
    </w:p>
    <w:p w:rsidR="00000000" w:rsidDel="00000000" w:rsidP="00000000" w:rsidRDefault="00000000" w:rsidRPr="00000000" w14:paraId="0000006D">
      <w:pPr>
        <w:spacing w:after="160" w:before="0" w:lineRule="auto"/>
        <w:rPr/>
      </w:pPr>
      <w:r w:rsidDel="00000000" w:rsidR="00000000" w:rsidRPr="00000000">
        <w:rPr>
          <w:rtl w:val="0"/>
        </w:rPr>
        <w:t xml:space="preserve">Cleanly passed all tests</w:t>
      </w:r>
      <w:r w:rsidDel="00000000" w:rsidR="00000000" w:rsidRPr="00000000">
        <w:rPr>
          <w:rFonts w:ascii="Calibri" w:cs="Calibri" w:eastAsia="Calibri" w:hAnsi="Calibri"/>
          <w:sz w:val="21"/>
          <w:szCs w:val="21"/>
          <w:rtl w:val="0"/>
        </w:rPr>
        <w:t xml:space="preserve">. No duplicate or out-of-order timestamps; gap analysis attributes large jumps to session breaks, quarterly contract rolls, and genuine volatility events (March 2020, CPI releases). Trades entered within 24 hours of a &gt;0.5% gap were 3.1% of all trades and ~1% of PnL. The negative results above are not artifacts of bad data.</w:t>
      </w:r>
      <w:r w:rsidDel="00000000" w:rsidR="00000000" w:rsidRPr="00000000">
        <w:rPr>
          <w:rtl w:val="0"/>
        </w:rPr>
      </w:r>
    </w:p>
    <w:p w:rsidR="00000000" w:rsidDel="00000000" w:rsidP="00000000" w:rsidRDefault="00000000" w:rsidRPr="00000000" w14:paraId="0000006E">
      <w:pPr>
        <w:pStyle w:val="Heading2"/>
        <w:spacing w:after="120" w:before="240" w:lineRule="auto"/>
        <w:rPr>
          <w:color w:val="000000"/>
        </w:rPr>
      </w:pPr>
      <w:r w:rsidDel="00000000" w:rsidR="00000000" w:rsidRPr="00000000">
        <w:rPr>
          <w:rFonts w:ascii="Calibri" w:cs="Calibri" w:eastAsia="Calibri" w:hAnsi="Calibri"/>
          <w:b w:val="1"/>
          <w:bCs w:val="1"/>
          <w:color w:val="000000"/>
          <w:sz w:val="24"/>
          <w:szCs w:val="24"/>
          <w:rtl w:val="0"/>
        </w:rPr>
        <w:t xml:space="preserve">5.5 Implementation robustness and statistical inference</w:t>
      </w:r>
      <w:r w:rsidDel="00000000" w:rsidR="00000000" w:rsidRPr="00000000">
        <w:rPr>
          <w:rtl w:val="0"/>
        </w:rPr>
      </w:r>
    </w:p>
    <w:p w:rsidR="00000000" w:rsidDel="00000000" w:rsidP="00000000" w:rsidRDefault="00000000" w:rsidRPr="00000000" w14:paraId="0000006F">
      <w:pPr>
        <w:spacing w:after="160" w:before="0" w:lineRule="auto"/>
        <w:rPr/>
      </w:pPr>
      <w:r w:rsidDel="00000000" w:rsidR="00000000" w:rsidRPr="00000000">
        <w:rPr>
          <w:rFonts w:ascii="Calibri" w:cs="Calibri" w:eastAsia="Calibri" w:hAnsi="Calibri"/>
          <w:sz w:val="21"/>
          <w:szCs w:val="21"/>
          <w:rtl w:val="0"/>
        </w:rPr>
        <w:t xml:space="preserve">An independent histogram-GBDT implementation with identical </w:t>
      </w:r>
      <w:r w:rsidDel="00000000" w:rsidR="00000000" w:rsidRPr="00000000">
        <w:rPr>
          <w:rtl w:val="0"/>
        </w:rPr>
        <w:t xml:space="preserve">parameters</w:t>
      </w:r>
      <w:r w:rsidDel="00000000" w:rsidR="00000000" w:rsidRPr="00000000">
        <w:rPr>
          <w:rFonts w:ascii="Calibri" w:cs="Calibri" w:eastAsia="Calibri" w:hAnsi="Calibri"/>
          <w:sz w:val="21"/>
          <w:szCs w:val="21"/>
          <w:rtl w:val="0"/>
        </w:rPr>
        <w:t xml:space="preserve">, trained on identical data through the identical walk-forward, produced only ~4.5%/yr gross over a similar number of trades versus the reported 17.7% of the best configuration. A deployable edge should be a property of the strategy and data, not of </w:t>
      </w:r>
      <w:r w:rsidDel="00000000" w:rsidR="00000000" w:rsidRPr="00000000">
        <w:rPr>
          <w:rtl w:val="0"/>
        </w:rPr>
        <w:t xml:space="preserve">the model’s </w:t>
      </w:r>
      <w:r w:rsidDel="00000000" w:rsidR="00000000" w:rsidRPr="00000000">
        <w:rPr>
          <w:rFonts w:ascii="Calibri" w:cs="Calibri" w:eastAsia="Calibri" w:hAnsi="Calibri"/>
          <w:sz w:val="21"/>
          <w:szCs w:val="21"/>
          <w:rtl w:val="0"/>
        </w:rPr>
        <w:t xml:space="preserve">tie-breaking; this fragility is corroborated by Phase 14, where </w:t>
      </w:r>
      <w:r w:rsidDel="00000000" w:rsidR="00000000" w:rsidRPr="00000000">
        <w:rPr>
          <w:rtl w:val="0"/>
        </w:rPr>
        <w:t xml:space="preserve">averaging the results of 3 seeds</w:t>
      </w:r>
      <w:r w:rsidDel="00000000" w:rsidR="00000000" w:rsidRPr="00000000">
        <w:rPr>
          <w:rFonts w:ascii="Calibri" w:cs="Calibri" w:eastAsia="Calibri" w:hAnsi="Calibri"/>
          <w:sz w:val="21"/>
          <w:szCs w:val="21"/>
          <w:rtl w:val="0"/>
        </w:rPr>
        <w:t xml:space="preserve"> degraded the original result. T</w:t>
      </w:r>
      <w:r w:rsidDel="00000000" w:rsidR="00000000" w:rsidRPr="00000000">
        <w:rPr>
          <w:rtl w:val="0"/>
        </w:rPr>
        <w:t xml:space="preserve">rade </w:t>
      </w:r>
      <w:r w:rsidDel="00000000" w:rsidR="00000000" w:rsidRPr="00000000">
        <w:rPr>
          <w:rFonts w:ascii="Calibri" w:cs="Calibri" w:eastAsia="Calibri" w:hAnsi="Calibri"/>
          <w:sz w:val="21"/>
          <w:szCs w:val="21"/>
          <w:rtl w:val="0"/>
        </w:rPr>
        <w:t xml:space="preserve">expectancy </w:t>
      </w:r>
      <w:r w:rsidDel="00000000" w:rsidR="00000000" w:rsidRPr="00000000">
        <w:rPr>
          <w:rtl w:val="0"/>
        </w:rPr>
        <w:t xml:space="preserve">does rise slightly </w:t>
      </w:r>
      <w:r w:rsidDel="00000000" w:rsidR="00000000" w:rsidRPr="00000000">
        <w:rPr>
          <w:rFonts w:ascii="Calibri" w:cs="Calibri" w:eastAsia="Calibri" w:hAnsi="Calibri"/>
          <w:sz w:val="21"/>
          <w:szCs w:val="21"/>
          <w:rtl w:val="0"/>
        </w:rPr>
        <w:t xml:space="preserve">with higher model confidence (Figure 3) </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 but the number of trades and thus sam</w:t>
      </w:r>
      <w:r w:rsidDel="00000000" w:rsidR="00000000" w:rsidRPr="00000000">
        <w:rPr>
          <w:rtl w:val="0"/>
        </w:rPr>
        <w:t xml:space="preserve">ple size decreases rapidly and </w:t>
      </w:r>
      <w:r w:rsidDel="00000000" w:rsidR="00000000" w:rsidRPr="00000000">
        <w:rPr>
          <w:rFonts w:ascii="Calibri" w:cs="Calibri" w:eastAsia="Calibri" w:hAnsi="Calibri"/>
          <w:sz w:val="21"/>
          <w:szCs w:val="21"/>
          <w:rtl w:val="0"/>
        </w:rPr>
        <w:t xml:space="preserve">the per-trade edge </w:t>
      </w:r>
      <w:r w:rsidDel="00000000" w:rsidR="00000000" w:rsidRPr="00000000">
        <w:rPr>
          <w:rtl w:val="0"/>
        </w:rPr>
        <w:t xml:space="preserve">remains </w:t>
      </w:r>
      <w:r w:rsidDel="00000000" w:rsidR="00000000" w:rsidRPr="00000000">
        <w:rPr>
          <w:rFonts w:ascii="Calibri" w:cs="Calibri" w:eastAsia="Calibri" w:hAnsi="Calibri"/>
          <w:sz w:val="21"/>
          <w:szCs w:val="21"/>
          <w:rtl w:val="0"/>
        </w:rPr>
        <w:t xml:space="preserve">thin relative to frictions.</w:t>
      </w:r>
      <w:r w:rsidDel="00000000" w:rsidR="00000000" w:rsidRPr="00000000">
        <w:rPr>
          <w:rtl w:val="0"/>
        </w:rPr>
      </w:r>
    </w:p>
    <w:p w:rsidR="00000000" w:rsidDel="00000000" w:rsidP="00000000" w:rsidRDefault="00000000" w:rsidRPr="00000000" w14:paraId="00000070">
      <w:pPr>
        <w:spacing w:after="40" w:before="120" w:lineRule="auto"/>
        <w:jc w:val="center"/>
        <w:rPr/>
      </w:pPr>
      <w:r w:rsidDel="00000000" w:rsidR="00000000" w:rsidRPr="00000000">
        <w:rPr/>
        <w:drawing>
          <wp:inline distB="0" distT="0" distL="0" distR="0">
            <wp:extent cx="6096000" cy="2438400"/>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0960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after="200" w:lineRule="auto"/>
        <w:jc w:val="center"/>
        <w:rPr/>
      </w:pPr>
      <w:r w:rsidDel="00000000" w:rsidR="00000000" w:rsidRPr="00000000">
        <w:rPr>
          <w:rFonts w:ascii="Calibri" w:cs="Calibri" w:eastAsia="Calibri" w:hAnsi="Calibri"/>
          <w:i w:val="1"/>
          <w:iCs w:val="1"/>
          <w:color w:val="666666"/>
          <w:sz w:val="18"/>
          <w:szCs w:val="18"/>
          <w:rtl w:val="0"/>
        </w:rPr>
        <w:t xml:space="preserve">Figure 3 </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 Per-trade expectancy by probability threshold: real but thin signal, largely absorbed by costs.</w:t>
      </w:r>
      <w:r w:rsidDel="00000000" w:rsidR="00000000" w:rsidRPr="00000000">
        <w:rPr>
          <w:rtl w:val="0"/>
        </w:rPr>
      </w:r>
    </w:p>
    <w:p w:rsidR="00000000" w:rsidDel="00000000" w:rsidP="00000000" w:rsidRDefault="00000000" w:rsidRPr="00000000" w14:paraId="00000072">
      <w:pPr>
        <w:spacing w:after="160" w:before="0" w:lineRule="auto"/>
        <w:rPr/>
      </w:pPr>
      <w:r w:rsidDel="00000000" w:rsidR="00000000" w:rsidRPr="00000000">
        <w:rPr>
          <w:rFonts w:ascii="Calibri" w:cs="Calibri" w:eastAsia="Calibri" w:hAnsi="Calibri"/>
          <w:sz w:val="21"/>
          <w:szCs w:val="21"/>
          <w:rtl w:val="0"/>
        </w:rPr>
        <w:t xml:space="preserve">Block-bootstrap inference on the net monthly returns yields a 90% confidence interval of [-0.14, +0.90] around 0.40 net Sharpe, with an 11% probability that the true Sharpe is at or below zero (Figure 4). The bootstrap drawdown distribution at the tested sizing has a median of ~39% per decade (95th percentile: 89%). The most recent 3.5 years (2023</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2026) show approximately zero net edge in both the original and reproduction runs; the profitable years are concentrated in the 2019</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2022 volatility expansion.</w:t>
      </w:r>
      <w:r w:rsidDel="00000000" w:rsidR="00000000" w:rsidRPr="00000000">
        <w:rPr>
          <w:rtl w:val="0"/>
        </w:rPr>
      </w:r>
    </w:p>
    <w:p w:rsidR="00000000" w:rsidDel="00000000" w:rsidP="00000000" w:rsidRDefault="00000000" w:rsidRPr="00000000" w14:paraId="00000073">
      <w:pPr>
        <w:spacing w:after="40" w:before="120" w:lineRule="auto"/>
        <w:jc w:val="center"/>
        <w:rPr/>
      </w:pPr>
      <w:r w:rsidDel="00000000" w:rsidR="00000000" w:rsidRPr="00000000">
        <w:rPr/>
        <w:drawing>
          <wp:inline distB="0" distT="0" distL="0" distR="0">
            <wp:extent cx="6096000" cy="2438400"/>
            <wp:effectExtent b="0" l="0" r="0" t="0"/>
            <wp:docPr id="5"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0960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spacing w:after="200" w:lineRule="auto"/>
        <w:jc w:val="center"/>
        <w:rPr/>
      </w:pPr>
      <w:r w:rsidDel="00000000" w:rsidR="00000000" w:rsidRPr="00000000">
        <w:rPr>
          <w:rFonts w:ascii="Calibri" w:cs="Calibri" w:eastAsia="Calibri" w:hAnsi="Calibri"/>
          <w:i w:val="1"/>
          <w:iCs w:val="1"/>
          <w:color w:val="666666"/>
          <w:sz w:val="18"/>
          <w:szCs w:val="18"/>
          <w:rtl w:val="0"/>
        </w:rPr>
        <w:t xml:space="preserve">Figure 4 </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 Bootstrap distribution of the net Sharpe ratio. The edge is not statistically distinguishable from zero at this horizon.</w:t>
      </w:r>
      <w:r w:rsidDel="00000000" w:rsidR="00000000" w:rsidRPr="00000000">
        <w:rPr>
          <w:rtl w:val="0"/>
        </w:rPr>
      </w:r>
    </w:p>
    <w:p w:rsidR="00000000" w:rsidDel="00000000" w:rsidP="00000000" w:rsidRDefault="00000000" w:rsidRPr="00000000" w14:paraId="00000075">
      <w:pPr>
        <w:pStyle w:val="Heading1"/>
        <w:spacing w:after="160" w:before="320" w:lineRule="auto"/>
        <w:rPr>
          <w:color w:val="000000"/>
        </w:rPr>
      </w:pPr>
      <w:r w:rsidDel="00000000" w:rsidR="00000000" w:rsidRPr="00000000">
        <w:rPr>
          <w:rFonts w:ascii="Calibri" w:cs="Calibri" w:eastAsia="Calibri" w:hAnsi="Calibri"/>
          <w:b w:val="1"/>
          <w:bCs w:val="1"/>
          <w:color w:val="000000"/>
          <w:sz w:val="30"/>
          <w:szCs w:val="30"/>
          <w:rtl w:val="0"/>
        </w:rPr>
        <w:t xml:space="preserve">6. Final Test: A</w:t>
      </w:r>
      <w:r w:rsidDel="00000000" w:rsidR="00000000" w:rsidRPr="00000000">
        <w:rPr>
          <w:b w:val="1"/>
          <w:bCs w:val="1"/>
          <w:color w:val="000000"/>
          <w:sz w:val="30"/>
          <w:szCs w:val="30"/>
          <w:rtl w:val="0"/>
        </w:rPr>
        <w:t xml:space="preserve"> Historically “Successful”</w:t>
      </w:r>
      <w:r w:rsidDel="00000000" w:rsidR="00000000" w:rsidRPr="00000000">
        <w:rPr>
          <w:rFonts w:ascii="Calibri" w:cs="Calibri" w:eastAsia="Calibri" w:hAnsi="Calibri"/>
          <w:b w:val="1"/>
          <w:bCs w:val="1"/>
          <w:color w:val="000000"/>
          <w:sz w:val="30"/>
          <w:szCs w:val="30"/>
          <w:rtl w:val="0"/>
        </w:rPr>
        <w:t xml:space="preserve"> Top-Down Playbook</w:t>
      </w:r>
      <w:r w:rsidDel="00000000" w:rsidR="00000000" w:rsidRPr="00000000">
        <w:rPr>
          <w:rtl w:val="0"/>
        </w:rPr>
      </w:r>
    </w:p>
    <w:p w:rsidR="00000000" w:rsidDel="00000000" w:rsidP="00000000" w:rsidRDefault="00000000" w:rsidRPr="00000000" w14:paraId="00000076">
      <w:pPr>
        <w:spacing w:after="160" w:before="0" w:lineRule="auto"/>
        <w:rPr/>
      </w:pPr>
      <w:r w:rsidDel="00000000" w:rsidR="00000000" w:rsidRPr="00000000">
        <w:rPr>
          <w:rFonts w:ascii="Calibri" w:cs="Calibri" w:eastAsia="Calibri" w:hAnsi="Calibri"/>
          <w:sz w:val="21"/>
          <w:szCs w:val="21"/>
          <w:rtl w:val="0"/>
        </w:rPr>
        <w:t xml:space="preserve">The final test targeted a complete top-down playbook transcribed from a</w:t>
      </w:r>
      <w:r w:rsidDel="00000000" w:rsidR="00000000" w:rsidRPr="00000000">
        <w:rPr>
          <w:rtl w:val="0"/>
        </w:rPr>
        <w:t xml:space="preserve"> </w:t>
      </w:r>
      <w:r w:rsidDel="00000000" w:rsidR="00000000" w:rsidRPr="00000000">
        <w:rPr>
          <w:rFonts w:ascii="Calibri" w:cs="Calibri" w:eastAsia="Calibri" w:hAnsi="Calibri"/>
          <w:sz w:val="21"/>
          <w:szCs w:val="21"/>
          <w:rtl w:val="0"/>
        </w:rPr>
        <w:t xml:space="preserve">popular ICT trading educator’s published </w:t>
      </w:r>
      <w:r w:rsidDel="00000000" w:rsidR="00000000" w:rsidRPr="00000000">
        <w:rPr>
          <w:rtl w:val="0"/>
        </w:rPr>
        <w:t xml:space="preserve">strategy</w:t>
      </w:r>
      <w:r w:rsidDel="00000000" w:rsidR="00000000" w:rsidRPr="00000000">
        <w:rPr>
          <w:rFonts w:ascii="Calibri" w:cs="Calibri" w:eastAsia="Calibri" w:hAnsi="Calibri"/>
          <w:sz w:val="21"/>
          <w:szCs w:val="21"/>
          <w:rtl w:val="0"/>
        </w:rPr>
        <w:t xml:space="preserve">. This </w:t>
      </w:r>
      <w:r w:rsidDel="00000000" w:rsidR="00000000" w:rsidRPr="00000000">
        <w:rPr>
          <w:rtl w:val="0"/>
        </w:rPr>
        <w:t xml:space="preserve">eliminates possible errors within the research process itself that would result in a suboptimal outcome in favor of a “historically proven” strategy trusted and followed by many within the ICT community.</w:t>
      </w:r>
      <w:r w:rsidDel="00000000" w:rsidR="00000000" w:rsidRPr="00000000">
        <w:rPr>
          <w:rFonts w:ascii="Calibri" w:cs="Calibri" w:eastAsia="Calibri" w:hAnsi="Calibri"/>
          <w:sz w:val="21"/>
          <w:szCs w:val="21"/>
          <w:rtl w:val="0"/>
        </w:rPr>
        <w:t xml:space="preserve"> The </w:t>
      </w:r>
      <w:r w:rsidDel="00000000" w:rsidR="00000000" w:rsidRPr="00000000">
        <w:rPr>
          <w:rtl w:val="0"/>
        </w:rPr>
        <w:t xml:space="preserve">strategy is as follows</w:t>
      </w:r>
      <w:r w:rsidDel="00000000" w:rsidR="00000000" w:rsidRPr="00000000">
        <w:rPr>
          <w:rFonts w:ascii="Calibri" w:cs="Calibri" w:eastAsia="Calibri" w:hAnsi="Calibri"/>
          <w:sz w:val="21"/>
          <w:szCs w:val="21"/>
          <w:rtl w:val="0"/>
        </w:rPr>
        <w:t xml:space="preserve">: use 1h/4h </w:t>
      </w:r>
      <w:r w:rsidDel="00000000" w:rsidR="00000000" w:rsidRPr="00000000">
        <w:rPr>
          <w:rtl w:val="0"/>
        </w:rPr>
        <w:t xml:space="preserve">breaks of structure to determine </w:t>
      </w:r>
      <w:r w:rsidDel="00000000" w:rsidR="00000000" w:rsidRPr="00000000">
        <w:rPr>
          <w:rFonts w:ascii="Calibri" w:cs="Calibri" w:eastAsia="Calibri" w:hAnsi="Calibri"/>
          <w:sz w:val="21"/>
          <w:szCs w:val="21"/>
          <w:rtl w:val="0"/>
        </w:rPr>
        <w:t xml:space="preserve">trend bias</w:t>
      </w:r>
      <w:r w:rsidDel="00000000" w:rsidR="00000000" w:rsidRPr="00000000">
        <w:rPr>
          <w:rtl w:val="0"/>
        </w:rPr>
        <w:t xml:space="preserve">. </w:t>
      </w:r>
      <w:r w:rsidDel="00000000" w:rsidR="00000000" w:rsidRPr="00000000">
        <w:rPr>
          <w:rFonts w:ascii="Calibri" w:cs="Calibri" w:eastAsia="Calibri" w:hAnsi="Calibri"/>
          <w:sz w:val="21"/>
          <w:szCs w:val="21"/>
          <w:rtl w:val="0"/>
        </w:rPr>
        <w:t xml:space="preserve">4h bias overrid</w:t>
      </w:r>
      <w:r w:rsidDel="00000000" w:rsidR="00000000" w:rsidRPr="00000000">
        <w:rPr>
          <w:rtl w:val="0"/>
        </w:rPr>
        <w:t xml:space="preserve">es</w:t>
      </w:r>
      <w:r w:rsidDel="00000000" w:rsidR="00000000" w:rsidRPr="00000000">
        <w:rPr>
          <w:rFonts w:ascii="Calibri" w:cs="Calibri" w:eastAsia="Calibri" w:hAnsi="Calibri"/>
          <w:sz w:val="21"/>
          <w:szCs w:val="21"/>
          <w:rtl w:val="0"/>
        </w:rPr>
        <w:t xml:space="preserve"> 1h bias; if biases are in agreement</w:t>
      </w:r>
      <w:r w:rsidDel="00000000" w:rsidR="00000000" w:rsidRPr="00000000">
        <w:rPr>
          <w:rtl w:val="0"/>
        </w:rPr>
        <w:t xml:space="preserve">, execution is completed on the </w:t>
      </w:r>
      <w:r w:rsidDel="00000000" w:rsidR="00000000" w:rsidRPr="00000000">
        <w:rPr>
          <w:rFonts w:ascii="Calibri" w:cs="Calibri" w:eastAsia="Calibri" w:hAnsi="Calibri"/>
          <w:sz w:val="21"/>
          <w:szCs w:val="21"/>
          <w:rtl w:val="0"/>
        </w:rPr>
        <w:t xml:space="preserve">5-minute timeframe</w:t>
      </w:r>
      <w:r w:rsidDel="00000000" w:rsidR="00000000" w:rsidRPr="00000000">
        <w:rPr>
          <w:rtl w:val="0"/>
        </w:rPr>
        <w:t xml:space="preserve">; if biases are opposed, execution is completed on the </w:t>
      </w:r>
      <w:r w:rsidDel="00000000" w:rsidR="00000000" w:rsidRPr="00000000">
        <w:rPr>
          <w:rFonts w:ascii="Calibri" w:cs="Calibri" w:eastAsia="Calibri" w:hAnsi="Calibri"/>
          <w:sz w:val="21"/>
          <w:szCs w:val="21"/>
          <w:rtl w:val="0"/>
        </w:rPr>
        <w:t xml:space="preserve">15-minute </w:t>
      </w:r>
      <w:r w:rsidDel="00000000" w:rsidR="00000000" w:rsidRPr="00000000">
        <w:rPr>
          <w:rtl w:val="0"/>
        </w:rPr>
        <w:t xml:space="preserve">timeframe.</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Trades are only taken off</w:t>
      </w:r>
      <w:r w:rsidDel="00000000" w:rsidR="00000000" w:rsidRPr="00000000">
        <w:rPr>
          <w:rFonts w:ascii="Calibri" w:cs="Calibri" w:eastAsia="Calibri" w:hAnsi="Calibri"/>
          <w:sz w:val="21"/>
          <w:szCs w:val="21"/>
          <w:rtl w:val="0"/>
        </w:rPr>
        <w:t xml:space="preserve"> sweeps of 1h/4h pivot, prior-day, and session liquidity, </w:t>
      </w:r>
      <w:r w:rsidDel="00000000" w:rsidR="00000000" w:rsidRPr="00000000">
        <w:rPr>
          <w:rtl w:val="0"/>
        </w:rPr>
        <w:t xml:space="preserve">and the execution consists of waiting for a break of structure on the lower timeframe (5min or 15min)</w:t>
      </w:r>
      <w:r w:rsidDel="00000000" w:rsidR="00000000" w:rsidRPr="00000000">
        <w:rPr>
          <w:rFonts w:ascii="Calibri" w:cs="Calibri" w:eastAsia="Calibri" w:hAnsi="Calibri"/>
          <w:sz w:val="21"/>
          <w:szCs w:val="21"/>
          <w:rtl w:val="0"/>
        </w:rPr>
        <w:t xml:space="preserve">, retracement into a continuation confluence (order block / FVG / breaker / equilibrium), and scal</w:t>
      </w:r>
      <w:r w:rsidDel="00000000" w:rsidR="00000000" w:rsidRPr="00000000">
        <w:rPr>
          <w:rtl w:val="0"/>
        </w:rPr>
        <w:t xml:space="preserve">ing down to an even lower timeframe to enter off of a break of structure in the bias direction.</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Take-profit was tested at a 2R-4R split and at the nearest pool of liquidity in the bias direction, and stop-loss was tested both at the sweep extreme and the retracement extreme.</w:t>
      </w:r>
    </w:p>
    <w:p w:rsidR="00000000" w:rsidDel="00000000" w:rsidP="00000000" w:rsidRDefault="00000000" w:rsidRPr="00000000" w14:paraId="00000077">
      <w:pPr>
        <w:spacing w:after="40" w:before="120" w:lineRule="auto"/>
        <w:jc w:val="center"/>
        <w:rPr/>
      </w:pPr>
      <w:r w:rsidDel="00000000" w:rsidR="00000000" w:rsidRPr="00000000">
        <w:rPr/>
        <w:drawing>
          <wp:inline distB="0" distT="0" distL="0" distR="0">
            <wp:extent cx="6096000" cy="2743200"/>
            <wp:effectExtent b="0" l="0" r="0" t="0"/>
            <wp:docPr id="4"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0960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after="200" w:lineRule="auto"/>
        <w:jc w:val="center"/>
        <w:rPr/>
      </w:pPr>
      <w:r w:rsidDel="00000000" w:rsidR="00000000" w:rsidRPr="00000000">
        <w:rPr>
          <w:rFonts w:ascii="Calibri" w:cs="Calibri" w:eastAsia="Calibri" w:hAnsi="Calibri"/>
          <w:i w:val="1"/>
          <w:iCs w:val="1"/>
          <w:color w:val="666666"/>
          <w:sz w:val="18"/>
          <w:szCs w:val="18"/>
          <w:rtl w:val="0"/>
        </w:rPr>
        <w:t xml:space="preserve">Figure 5 </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 Top-down implementation: all four rule interpretations lose net of costs (~55 trades/yr, costs only ~4% of risk).</w:t>
      </w:r>
      <w:r w:rsidDel="00000000" w:rsidR="00000000" w:rsidRPr="00000000">
        <w:rPr>
          <w:rtl w:val="0"/>
        </w:rPr>
      </w:r>
    </w:p>
    <w:p w:rsidR="00000000" w:rsidDel="00000000" w:rsidP="00000000" w:rsidRDefault="00000000" w:rsidRPr="00000000" w14:paraId="00000079">
      <w:pPr>
        <w:spacing w:after="160" w:before="0" w:lineRule="auto"/>
        <w:rPr/>
      </w:pPr>
      <w:r w:rsidDel="00000000" w:rsidR="00000000" w:rsidRPr="00000000">
        <w:rPr>
          <w:rFonts w:ascii="Calibri" w:cs="Calibri" w:eastAsia="Calibri" w:hAnsi="Calibri"/>
          <w:sz w:val="21"/>
          <w:szCs w:val="21"/>
          <w:rtl w:val="0"/>
        </w:rPr>
        <w:t xml:space="preserve">All four variants of the</w:t>
      </w:r>
      <w:r w:rsidDel="00000000" w:rsidR="00000000" w:rsidRPr="00000000">
        <w:rPr>
          <w:rtl w:val="0"/>
        </w:rPr>
        <w:t xml:space="preserve"> top-down playbook lost money in the long term. A test of</w:t>
      </w:r>
      <w:r w:rsidDel="00000000" w:rsidR="00000000" w:rsidRPr="00000000">
        <w:rPr>
          <w:rFonts w:ascii="Calibri" w:cs="Calibri" w:eastAsia="Calibri" w:hAnsi="Calibri"/>
          <w:sz w:val="21"/>
          <w:szCs w:val="21"/>
          <w:rtl w:val="0"/>
        </w:rPr>
        <w:t xml:space="preserve"> random entries pushed through the </w:t>
      </w:r>
      <w:r w:rsidDel="00000000" w:rsidR="00000000" w:rsidRPr="00000000">
        <w:rPr>
          <w:rtl w:val="0"/>
        </w:rPr>
        <w:t xml:space="preserve">same </w:t>
      </w:r>
      <w:r w:rsidDel="00000000" w:rsidR="00000000" w:rsidRPr="00000000">
        <w:rPr>
          <w:rFonts w:ascii="Calibri" w:cs="Calibri" w:eastAsia="Calibri" w:hAnsi="Calibri"/>
          <w:sz w:val="21"/>
          <w:szCs w:val="21"/>
          <w:rtl w:val="0"/>
        </w:rPr>
        <w:t xml:space="preserve">exit engine with a matched risk distribution scored a mean of -5.7R (range -44 to +54 across seeds); the strategy’s -19.5R sits inside that noise band, and its 33.0% win rate is below the random benchmark’s 35.1%. The </w:t>
      </w:r>
      <w:r w:rsidDel="00000000" w:rsidR="00000000" w:rsidRPr="00000000">
        <w:rPr>
          <w:rtl w:val="0"/>
        </w:rPr>
        <w:t xml:space="preserve">popular top-down playbook</w:t>
      </w:r>
      <w:r w:rsidDel="00000000" w:rsidR="00000000" w:rsidRPr="00000000">
        <w:rPr>
          <w:rFonts w:ascii="Calibri" w:cs="Calibri" w:eastAsia="Calibri" w:hAnsi="Calibri"/>
          <w:sz w:val="21"/>
          <w:szCs w:val="21"/>
          <w:rtl w:val="0"/>
        </w:rPr>
        <w:t xml:space="preserve"> selected entries no better than chance, </w:t>
      </w:r>
      <w:r w:rsidDel="00000000" w:rsidR="00000000" w:rsidRPr="00000000">
        <w:rPr>
          <w:rtl w:val="0"/>
        </w:rPr>
        <w:t xml:space="preserve">demonstrating that even “successful” implementations of ICT did not have a sustained statistical edge.</w:t>
      </w:r>
    </w:p>
    <w:p w:rsidR="00000000" w:rsidDel="00000000" w:rsidP="00000000" w:rsidRDefault="00000000" w:rsidRPr="00000000" w14:paraId="0000007A">
      <w:pPr>
        <w:pStyle w:val="Heading1"/>
        <w:spacing w:after="160" w:before="320" w:lineRule="auto"/>
        <w:rPr>
          <w:color w:val="000000"/>
        </w:rPr>
      </w:pPr>
      <w:r w:rsidDel="00000000" w:rsidR="00000000" w:rsidRPr="00000000">
        <w:rPr>
          <w:rFonts w:ascii="Calibri" w:cs="Calibri" w:eastAsia="Calibri" w:hAnsi="Calibri"/>
          <w:b w:val="1"/>
          <w:bCs w:val="1"/>
          <w:color w:val="000000"/>
          <w:sz w:val="30"/>
          <w:szCs w:val="30"/>
          <w:rtl w:val="0"/>
        </w:rPr>
        <w:t xml:space="preserve">7. Conclusions</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Mechanically-defined ICT concepts show no deployable edge on intraday Nasdaq futures. Whatever validity the framework has appears to live in discretionary, hindsight-flexible judgment that cannot be automated </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and the burden of proof that it exists even there remains unmet.</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apparent 17.7% yearly return/0.96 </w:t>
      </w:r>
      <w:r w:rsidDel="00000000" w:rsidR="00000000" w:rsidRPr="00000000">
        <w:rPr>
          <w:rtl w:val="0"/>
        </w:rPr>
        <w:t xml:space="preserve">Sharpe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result from the most optimistic configuration decomposed into: flattering metric conventions (~35% of the Sharpe), configuration selection bias (~50% of the net result), </w:t>
      </w:r>
      <w:r w:rsidDel="00000000" w:rsidR="00000000" w:rsidRPr="00000000">
        <w:rPr>
          <w:rtl w:val="0"/>
        </w:rPr>
        <w:t xml:space="preserve">model tiebreaking</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luck (unquantifiable but demonstrably large), transaction costs (36</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74% of gross per-trade edge), and </w:t>
      </w:r>
      <w:r w:rsidDel="00000000" w:rsidR="00000000" w:rsidRPr="00000000">
        <w:rPr>
          <w:rtl w:val="0"/>
        </w:rPr>
        <w:t xml:space="preserve">a favorable market regime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in 2019</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2022.</w:t>
      </w:r>
    </w:p>
    <w:p w:rsidR="00000000" w:rsidDel="00000000" w:rsidP="00000000" w:rsidRDefault="00000000" w:rsidRPr="00000000" w14:paraId="0000007D">
      <w:pPr>
        <w:pStyle w:val="Heading1"/>
        <w:spacing w:after="160" w:before="320" w:lineRule="auto"/>
        <w:rPr>
          <w:color w:val="000000"/>
        </w:rPr>
      </w:pPr>
      <w:r w:rsidDel="00000000" w:rsidR="00000000" w:rsidRPr="00000000">
        <w:rPr>
          <w:rFonts w:ascii="Calibri" w:cs="Calibri" w:eastAsia="Calibri" w:hAnsi="Calibri"/>
          <w:b w:val="1"/>
          <w:bCs w:val="1"/>
          <w:color w:val="000000"/>
          <w:sz w:val="30"/>
          <w:szCs w:val="30"/>
          <w:rtl w:val="0"/>
        </w:rPr>
        <w:t xml:space="preserve">8. Methodological Lessons</w:t>
      </w:r>
      <w:r w:rsidDel="00000000" w:rsidR="00000000" w:rsidRPr="00000000">
        <w:rPr>
          <w:rtl w:val="0"/>
        </w:rPr>
      </w:r>
    </w:p>
    <w:p w:rsidR="00000000" w:rsidDel="00000000" w:rsidP="00000000" w:rsidRDefault="00000000" w:rsidRPr="00000000" w14:paraId="0000007E">
      <w:pPr>
        <w:spacing w:after="160" w:before="0" w:lineRule="auto"/>
        <w:rPr/>
      </w:pPr>
      <w:r w:rsidDel="00000000" w:rsidR="00000000" w:rsidRPr="00000000">
        <w:rPr>
          <w:rFonts w:ascii="Calibri" w:cs="Calibri" w:eastAsia="Calibri" w:hAnsi="Calibri"/>
          <w:sz w:val="21"/>
          <w:szCs w:val="21"/>
          <w:rtl w:val="0"/>
        </w:rPr>
        <w:t xml:space="preserve">These generalize beyond this strategy and constitute the project’s </w:t>
      </w:r>
      <w:r w:rsidDel="00000000" w:rsidR="00000000" w:rsidRPr="00000000">
        <w:rPr>
          <w:rtl w:val="0"/>
        </w:rPr>
        <w:t xml:space="preserve">long-term </w:t>
      </w:r>
      <w:r w:rsidDel="00000000" w:rsidR="00000000" w:rsidRPr="00000000">
        <w:rPr>
          <w:rFonts w:ascii="Calibri" w:cs="Calibri" w:eastAsia="Calibri" w:hAnsi="Calibri"/>
          <w:sz w:val="21"/>
          <w:szCs w:val="21"/>
          <w:rtl w:val="0"/>
        </w:rPr>
        <w:t xml:space="preserve">value:</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Average-of-yearly Sharpe ratios and average-of-yearly drawdowns systematically overstate performance; pooled returns and full-period drawdowns are the </w:t>
      </w:r>
      <w:r w:rsidDel="00000000" w:rsidR="00000000" w:rsidRPr="00000000">
        <w:rPr>
          <w:rtl w:val="0"/>
        </w:rPr>
        <w:t xml:space="preserve">more honest industry standard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Selection bias is measurable: nested (prior-data-only) configuration selection is cheap to run and, here,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erased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half the result. Any hyperparameter sweep must be </w:t>
      </w:r>
      <w:r w:rsidDel="00000000" w:rsidR="00000000" w:rsidRPr="00000000">
        <w:rPr>
          <w:rtl w:val="0"/>
        </w:rPr>
        <w:t xml:space="preserve">tested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inside the validation loop rather than in hindsight of th</w:t>
      </w:r>
      <w:r w:rsidDel="00000000" w:rsidR="00000000" w:rsidRPr="00000000">
        <w:rPr>
          <w:rtl w:val="0"/>
        </w:rPr>
        <w:t xml:space="preserve">e data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Implementation-swap testing is a</w:t>
      </w:r>
      <w:r w:rsidDel="00000000" w:rsidR="00000000" w:rsidRPr="00000000">
        <w:rPr>
          <w:rtl w:val="0"/>
        </w:rPr>
        <w:t xml:space="preserve"> strong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robustness check: retraining with an equivalently-specified model from a different codebase is a powerful overfitting detector, </w:t>
      </w:r>
      <w:r w:rsidDel="00000000" w:rsidR="00000000" w:rsidRPr="00000000">
        <w:rPr>
          <w:rtl w:val="0"/>
        </w:rPr>
        <w:t xml:space="preserve">similarly to testing multiple seeds for the same model</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Cost floors bind strategy design: with fixed per-trade frictions, viability scales with per-trade </w:t>
      </w:r>
      <w:r w:rsidDel="00000000" w:rsidR="00000000" w:rsidRPr="00000000">
        <w:rPr>
          <w:rtl w:val="0"/>
        </w:rPr>
        <w:t xml:space="preserve">edge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trade frequency is a liability, not an asset, for thin-edge signals.</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Random-entry benchmarks with identical exit machinery isolate whether entry logic actually contributes </w:t>
      </w:r>
      <w:r w:rsidDel="00000000" w:rsidR="00000000" w:rsidRPr="00000000">
        <w:rPr>
          <w:rtl w:val="0"/>
        </w:rPr>
        <w:t xml:space="preserve">a statistically significant edge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Negative results retain value </w:t>
      </w:r>
      <w:r w:rsidDel="00000000" w:rsidR="00000000" w:rsidRPr="00000000">
        <w:rPr>
          <w:rtl w:val="0"/>
        </w:rPr>
        <w:t xml:space="preserve">through reusable frameworks and falsification of a hypothesis.</w:t>
      </w:r>
      <w:r w:rsidDel="00000000" w:rsidR="00000000" w:rsidRPr="00000000">
        <w:rPr>
          <w:rtl w:val="0"/>
        </w:rPr>
      </w:r>
    </w:p>
    <w:p w:rsidR="00000000" w:rsidDel="00000000" w:rsidP="00000000" w:rsidRDefault="00000000" w:rsidRPr="00000000" w14:paraId="00000085">
      <w:pPr>
        <w:pStyle w:val="Heading1"/>
        <w:spacing w:after="160" w:before="320" w:lineRule="auto"/>
        <w:rPr>
          <w:color w:val="000000"/>
        </w:rPr>
      </w:pPr>
      <w:r w:rsidDel="00000000" w:rsidR="00000000" w:rsidRPr="00000000">
        <w:rPr>
          <w:rFonts w:ascii="Calibri" w:cs="Calibri" w:eastAsia="Calibri" w:hAnsi="Calibri"/>
          <w:b w:val="1"/>
          <w:bCs w:val="1"/>
          <w:color w:val="000000"/>
          <w:sz w:val="30"/>
          <w:szCs w:val="30"/>
          <w:rtl w:val="0"/>
        </w:rPr>
        <w:t xml:space="preserve">Appendix</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Sharpe: pooled monthly returns on month-start balance, ddof=1, annualized ×√12, risk-free rate 0 (conservative direction for a positive-mean strategy).</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Costs: NQ </w:t>
      </w:r>
      <w:r w:rsidDel="00000000" w:rsidR="00000000" w:rsidRPr="00000000">
        <w:rPr>
          <w:rtl w:val="0"/>
        </w:rPr>
        <w:t xml:space="preserve">trading commissions are, conservatively estimated,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$2.30/side/contract</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1 tick = $5/NQ; exposure normalized to $32/pt (= 16 MNQ ≈ 1.6 NQ). MNQ execution of </w:t>
      </w:r>
      <w:r w:rsidDel="00000000" w:rsidR="00000000" w:rsidRPr="00000000">
        <w:rPr>
          <w:rtl w:val="0"/>
        </w:rPr>
        <w:t xml:space="preserve">the same strategy</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roughly triples commission </w:t>
      </w:r>
      <w:r w:rsidDel="00000000" w:rsidR="00000000" w:rsidRPr="00000000">
        <w:rPr>
          <w:rtl w:val="0"/>
        </w:rPr>
        <w:t xml:space="preserve">costs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Bootstrap: circular block bootstrap, 3-month blocks (Sharpe, 10k reps) and 50-trade blocks (drawdown, 5k reps).</w:t>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Stack: Python (pandas/NumPy/LightGBM), custom C histogram-GBDT for the replication study, causal Pine-to-Python feature translation, 1-minute execution simulation with conservative </w:t>
      </w:r>
      <w:r w:rsidDel="00000000" w:rsidR="00000000" w:rsidRPr="00000000">
        <w:rPr>
          <w:rtl w:val="0"/>
        </w:rPr>
        <w:t xml:space="preserve">trade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handling. All experiment artifacts and per-phase reports are archived in the project repository.</w:t>
      </w:r>
    </w:p>
    <w:sectPr>
      <w:headerReference r:id="rId12" w:type="default"/>
      <w:footerReference r:id="rId13" w:type="default"/>
      <w:pgSz w:h="15840" w:w="12240" w:orient="portrait"/>
      <w:pgMar w:bottom="1080" w:top="1080" w:left="1240" w:right="12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A">
    <w:pPr>
      <w:jc w:val="center"/>
      <w:rPr/>
    </w:pPr>
    <w:r w:rsidDel="00000000" w:rsidR="00000000" w:rsidRPr="00000000">
      <w:rPr>
        <w:rFonts w:ascii="Calibri" w:cs="Calibri" w:eastAsia="Calibri" w:hAnsi="Calibri"/>
        <w:color w:val="666666"/>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XlHUd27MfbVgLfM9hVDBUFN35g==">CgMxLjA4AHIhMXBkSUVRenNET29vRFZEMU9BSXpYWmVnN2dxX3RmTkVo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