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High Entropy Alloy Material Design Platform</w:t>
      </w:r>
    </w:p>
    <w:p>
      <w:pPr>
        <w:jc w:val="center"/>
      </w:pPr>
      <w:r>
        <w:rPr>
          <w:color w:val="4682B4"/>
          <w:sz w:val="28"/>
        </w:rPr>
        <w:t>Development Progress, CALPHAD Thermodynamics, Kinematic XRD Simulation &amp; Architectural Evolution</w:t>
      </w:r>
    </w:p>
    <w:p/>
    <w:p/>
    <w:p>
      <w:pPr>
        <w:jc w:val="center"/>
      </w:pPr>
      <w:r>
        <w:rPr>
          <w:color w:val="505050"/>
          <w:sz w:val="21"/>
        </w:rPr>
        <w:t>Report Date: 03 October 2026</w:t>
        <w:br/>
      </w:r>
      <w:r>
        <w:rPr>
          <w:color w:val="505050"/>
          <w:sz w:val="21"/>
        </w:rPr>
        <w:t>Focus: Native Thermodynamic Engine vs Commercial CALPHAD (JMatPro), In-situ XRD Diffraction &amp; Data Sovereignty</w:t>
        <w:br/>
      </w:r>
      <w:r>
        <w:rPr>
          <w:color w:val="505050"/>
          <w:sz w:val="21"/>
        </w:rPr>
        <w:t>Implementation: MATLAB R2024b+ · MATLAB uihtml Hybrid Architecture · HTML5/ES6/Canvas · Python</w:t>
        <w:br/>
      </w:r>
      <w:r>
        <w:rPr>
          <w:color w:val="505050"/>
          <w:sz w:val="21"/>
        </w:rPr>
        <w:t>Workspace: c:\Users\Dell\Documents\Material design</w:t>
      </w:r>
    </w:p>
    <w:p>
      <w:r>
        <w:br w:type="page"/>
      </w:r>
    </w:p>
    <w:p>
      <w:pPr>
        <w:pStyle w:val="Heading1"/>
        <w:jc w:val="left"/>
      </w:pPr>
      <w:r>
        <w:rPr>
          <w:color w:val="1F4E79"/>
        </w:rPr>
        <w:t>Table of Contents</w:t>
      </w:r>
    </w:p>
    <w:p>
      <w:pPr>
        <w:spacing w:after="70"/>
      </w:pPr>
      <w:r>
        <w:rPr>
          <w:b/>
        </w:rPr>
        <w:t xml:space="preserve">  1.  </w:t>
      </w:r>
      <w:r>
        <w:t>Project Genesis, Motivation &amp; HEA Science Foundations</w:t>
      </w:r>
    </w:p>
    <w:p>
      <w:pPr>
        <w:spacing w:after="70"/>
      </w:pPr>
      <w:r>
        <w:rPr>
          <w:b/>
        </w:rPr>
        <w:t xml:space="preserve">  2.  </w:t>
      </w:r>
      <w:r>
        <w:t>Why a Built-in Thermodynamic Calculator? The JMatPro Problem</w:t>
      </w:r>
    </w:p>
    <w:p>
      <w:pPr>
        <w:spacing w:after="70"/>
      </w:pPr>
      <w:r>
        <w:rPr>
          <w:b/>
        </w:rPr>
        <w:t xml:space="preserve">  2.1  </w:t>
      </w:r>
      <w:r>
        <w:t>The Original Dependency on JMatPro &amp; Its Fundamental Bottlenecks</w:t>
      </w:r>
    </w:p>
    <w:p>
      <w:pPr>
        <w:spacing w:after="70"/>
      </w:pPr>
      <w:r>
        <w:rPr>
          <w:b/>
        </w:rPr>
        <w:t xml:space="preserve">  2.2  </w:t>
      </w:r>
      <w:r>
        <w:t>Quantified Inaccuracies &amp; Literature Validation Benchmarks</w:t>
      </w:r>
    </w:p>
    <w:p>
      <w:pPr>
        <w:spacing w:after="70"/>
      </w:pPr>
      <w:r>
        <w:rPr>
          <w:b/>
        </w:rPr>
        <w:t xml:space="preserve">  2.3  </w:t>
      </w:r>
      <w:r>
        <w:t>Theoretical Justification for the Native CALPHAD Formulation</w:t>
      </w:r>
    </w:p>
    <w:p>
      <w:pPr>
        <w:spacing w:after="70"/>
      </w:pPr>
      <w:r>
        <w:rPr>
          <w:b/>
        </w:rPr>
        <w:t xml:space="preserve">  3.  </w:t>
      </w:r>
      <w:r>
        <w:t>Development Timeline &amp; Version History</w:t>
      </w:r>
    </w:p>
    <w:p>
      <w:pPr>
        <w:spacing w:after="70"/>
      </w:pPr>
      <w:r>
        <w:rPr>
          <w:b/>
        </w:rPr>
        <w:t xml:space="preserve">  4.  </w:t>
      </w:r>
      <w:r>
        <w:t>Architectural Evolution &amp; Version Flowcharts</w:t>
      </w:r>
    </w:p>
    <w:p>
      <w:pPr>
        <w:spacing w:after="70"/>
      </w:pPr>
      <w:r>
        <w:rPr>
          <w:b/>
        </w:rPr>
        <w:t xml:space="preserve">  4.1  </w:t>
      </w:r>
      <w:r>
        <w:t>Version 0.x — Script-Based Proof of Concept</w:t>
      </w:r>
    </w:p>
    <w:p>
      <w:pPr>
        <w:spacing w:after="70"/>
      </w:pPr>
      <w:r>
        <w:rPr>
          <w:b/>
        </w:rPr>
        <w:t xml:space="preserve">  4.2  </w:t>
      </w:r>
      <w:r>
        <w:t>Version 1.0 — Desktop GUI Shell &amp; Live Literature Search</w:t>
      </w:r>
    </w:p>
    <w:p>
      <w:pPr>
        <w:spacing w:after="70"/>
      </w:pPr>
      <w:r>
        <w:rPr>
          <w:b/>
        </w:rPr>
        <w:t xml:space="preserve">  4.3  </w:t>
      </w:r>
      <w:r>
        <w:t>Version 2.0 — Analytical Curve Fitting &amp; Miedema Mixing Rules</w:t>
      </w:r>
    </w:p>
    <w:p>
      <w:pPr>
        <w:spacing w:after="70"/>
      </w:pPr>
      <w:r>
        <w:rPr>
          <w:b/>
        </w:rPr>
        <w:t xml:space="preserve">  4.4  </w:t>
      </w:r>
      <w:r>
        <w:t>Version 3.x — Full-Stack MATLAB uihtml &amp; 45-Element SGTE Engine</w:t>
      </w:r>
    </w:p>
    <w:p>
      <w:pPr>
        <w:spacing w:after="70"/>
      </w:pPr>
      <w:r>
        <w:rPr>
          <w:b/>
        </w:rPr>
        <w:t xml:space="preserve">  4.5  </w:t>
      </w:r>
      <w:r>
        <w:t>Version 4.0 — Kinematic X-Ray Diffraction (XRD) Simulation Engine</w:t>
      </w:r>
    </w:p>
    <w:p>
      <w:pPr>
        <w:spacing w:after="70"/>
      </w:pPr>
      <w:r>
        <w:rPr>
          <w:b/>
        </w:rPr>
        <w:t xml:space="preserve">  4.6  </w:t>
      </w:r>
      <w:r>
        <w:t>Version 5.0 — Configurable Discretization &amp; Real-Time Telemetry Pipeline</w:t>
      </w:r>
    </w:p>
    <w:p>
      <w:pPr>
        <w:spacing w:after="70"/>
      </w:pPr>
      <w:r>
        <w:rPr>
          <w:b/>
        </w:rPr>
        <w:t xml:space="preserve">  5.  </w:t>
      </w:r>
      <w:r>
        <w:t>Development Milestones Achieved</w:t>
      </w:r>
    </w:p>
    <w:p>
      <w:pPr>
        <w:spacing w:after="70"/>
      </w:pPr>
      <w:r>
        <w:rPr>
          <w:b/>
        </w:rPr>
        <w:t xml:space="preserve">  6.  </w:t>
      </w:r>
      <w:r>
        <w:t>Engineering Failures, Diagnostics &amp; Systematic Resolutions</w:t>
      </w:r>
    </w:p>
    <w:p>
      <w:pPr>
        <w:spacing w:after="70"/>
      </w:pPr>
      <w:r>
        <w:rPr>
          <w:b/>
        </w:rPr>
        <w:t xml:space="preserve">  7.  </w:t>
      </w:r>
      <w:r>
        <w:t>Current System Architecture (Version 5.0)</w:t>
      </w:r>
    </w:p>
    <w:p>
      <w:pPr>
        <w:spacing w:after="70"/>
      </w:pPr>
      <w:r>
        <w:rPr>
          <w:b/>
        </w:rPr>
        <w:t xml:space="preserve">  8.  </w:t>
      </w:r>
      <w:r>
        <w:t>Key Technical Decisions &amp; Strategic Rationale</w:t>
      </w:r>
    </w:p>
    <w:p>
      <w:pPr>
        <w:spacing w:after="70"/>
      </w:pPr>
      <w:r>
        <w:rPr>
          <w:b/>
        </w:rPr>
        <w:t xml:space="preserve">  9.  </w:t>
      </w:r>
      <w:r>
        <w:t>Future Roadmap &amp; Extension Capabilities</w:t>
      </w:r>
    </w:p>
    <w:p>
      <w:pPr>
        <w:spacing w:after="70"/>
      </w:pPr>
      <w:r>
        <w:rPr>
          <w:b/>
        </w:rPr>
        <w:t xml:space="preserve">  10.  </w:t>
      </w:r>
      <w:r>
        <w:t>Comprehensive Bibliography &amp; Authoritative Literature Citations</w:t>
      </w:r>
    </w:p>
    <w:p>
      <w:r>
        <w:br w:type="page"/>
      </w:r>
    </w:p>
    <w:p>
      <w:pPr>
        <w:pStyle w:val="Heading1"/>
        <w:jc w:val="left"/>
      </w:pPr>
      <w:r>
        <w:rPr>
          <w:color w:val="1F4E79"/>
        </w:rPr>
        <w:t>1. Project Genesis, Motivation &amp; HEA Science Foundations</w:t>
      </w:r>
    </w:p>
    <w:p>
      <w:pPr>
        <w:pBdr>
          <w:bottom w:val="single" w:sz="6" w:space="1" w:color="1F4E79"/>
        </w:pBdr>
      </w:pPr>
    </w:p>
    <w:p>
      <w:pPr>
        <w:spacing w:after="120"/>
      </w:pPr>
      <w:r>
        <w:rPr>
          <w:b w:val="0"/>
          <w:i w:val="0"/>
          <w:sz w:val="22"/>
        </w:rPr>
        <w:t>High-Entropy Alloys (HEAs), first conceptualized independently by Cantor et al. (2004) [1] and Yeh et al. (2004) [2], represent a paradigm shift in physical metallurgy. Rather than designing around a single dominant solvent element with minor alloying additions (such as Fe-base steels, Ni-base superalloys, or Al-base aerospace light alloys), HEAs incorporate five or more principal elements in equiatomic or near-equiatomic proportions (5–35 at% each). This gives rise to unique physical behaviors collectively known as the 'four core effects' [2, 17, 24]: high configurational entropy of mixing (promoting single-phase disordered solid solutions over complex intermetallics), severe lattice distortion (enhancing mechanical strength), sluggish atomic diffusion (conferring exceptional high-temperature thermal stability), and the composite 'cocktail effect' (non-linear synergism of constituent properties).</w:t>
      </w:r>
    </w:p>
    <w:p>
      <w:pPr>
        <w:spacing w:after="120"/>
      </w:pPr>
      <w:r>
        <w:rPr>
          <w:b w:val="0"/>
          <w:i w:val="0"/>
          <w:sz w:val="22"/>
        </w:rPr>
        <w:t>The current computational materials design project was initiated in late September 2026 to resolve an acute research bottleneck: commercial thermodynamic simulation suites (notably JMatPro) and uncalibrated empirical calculators systematically produced inaccurate, physically untenable thermophysical predictions for multicomponent HEA and Refractory HEA (RHEA) compositions. Most critically, published experimental literature showed that the melting temperatures (solidus Ts, liquidus Tl), high-temperature specific heat capacity curves, and thermal conductivity profiles for canonical alloys—including the equiatomic Cantor alloy CoCrFeMnNi [1, 3, 4], the AlxCoCrFeNi solid-solution series [6, 7, 8, 9, 10], the eutectic AlCoCrFeNi2.1 alloy [15, 16], and ultra-high-temperature RHEAs like NbMoTaW [11, 12] and TiZrHfNbTa [13, 14]—deviated substantially from commercial software outputs.</w:t>
      </w:r>
    </w:p>
    <w:p>
      <w:pPr>
        <w:spacing w:after="120"/>
      </w:pPr>
      <w:r>
        <w:rPr>
          <w:b w:val="0"/>
          <w:i w:val="0"/>
          <w:sz w:val="22"/>
        </w:rPr>
        <w:t>What began as an isolated post-processing MATLAB script for reading external .dat property tables quickly transformed into an ambitious, fully autonomous materials engineering platform capable of:</w:t>
      </w:r>
    </w:p>
    <w:p>
      <w:pPr>
        <w:pStyle w:val="ListBullet"/>
        <w:spacing w:after="60"/>
        <w:ind w:left="360"/>
      </w:pPr>
      <w:r>
        <w:t>Calculating multicomponent CALPHAD-grade thermodynamic properties (Ts, Tl, ΔHmix, ΔSmix, Ω, δ, VEC, Δχ) directly from foundational SGTE unary thermochemical databases [20] and Miedema binary interaction enthalpies [21].</w:t>
      </w:r>
    </w:p>
    <w:p>
      <w:pPr>
        <w:pStyle w:val="ListBullet"/>
        <w:spacing w:after="60"/>
        <w:ind w:left="360"/>
      </w:pPr>
      <w:r>
        <w:t>Simulating publication-grade, interactive X-Ray Diffraction (XRD) patterns for predicted FCC, BCC, and HCP phases using Cromer-Mann atomic scattering factors [22] and Bragg-Scherrer kinematic physics [23].</w:t>
      </w:r>
    </w:p>
    <w:p>
      <w:pPr>
        <w:pStyle w:val="ListBullet"/>
        <w:spacing w:after="60"/>
        <w:ind w:left="360"/>
      </w:pPr>
      <w:r>
        <w:t>Fitting continuous, piecewise analytical polynomial equations to raw temperature-dependent curves with automated continuity enforcement at phase transitions.</w:t>
      </w:r>
    </w:p>
    <w:p>
      <w:pPr>
        <w:pStyle w:val="ListBullet"/>
        <w:spacing w:after="60"/>
        <w:ind w:left="360"/>
      </w:pPr>
      <w:r>
        <w:t>Providing a high-performance modern graphical workstation UI (via MATLAB uihtml) incorporating interactive periodic tables, composition balance converters, live literature scrapers [OpenAlex, CrossRef], and multi-panel property visualizers.</w:t>
      </w:r>
    </w:p>
    <w:p>
      <w:pPr>
        <w:pStyle w:val="ListBullet"/>
        <w:spacing w:after="60"/>
        <w:ind w:left="360"/>
      </w:pPr>
      <w:r>
        <w:t>Enforcing a zero-leak, 4-layer defense-in-depth cryptographic security vault (AES-256-GCM, PBKDF2) to protect sensitive composition intellectual property on local research workstations.</w:t>
      </w:r>
    </w:p>
    <w:p>
      <w:r>
        <w:br w:type="page"/>
      </w:r>
    </w:p>
    <w:p>
      <w:pPr>
        <w:pStyle w:val="Heading1"/>
        <w:jc w:val="left"/>
      </w:pPr>
      <w:r>
        <w:rPr>
          <w:color w:val="1F4E79"/>
        </w:rPr>
        <w:t>2. Why a Built-in Thermodynamic Calculator? The JMatPro Problem</w:t>
      </w:r>
    </w:p>
    <w:p>
      <w:pPr>
        <w:pBdr>
          <w:bottom w:val="single" w:sz="6" w:space="1" w:color="1F4E79"/>
        </w:pBdr>
      </w:pPr>
    </w:p>
    <w:p>
      <w:pPr>
        <w:pStyle w:val="Heading2"/>
        <w:jc w:val="left"/>
      </w:pPr>
      <w:r>
        <w:t>2.1 The Original Dependency on JMatPro &amp; Its Fundamental Bottlenecks</w:t>
      </w:r>
    </w:p>
    <w:p>
      <w:pPr>
        <w:spacing w:after="120"/>
      </w:pPr>
      <w:r>
        <w:rPr>
          <w:b w:val="0"/>
          <w:i w:val="0"/>
          <w:sz w:val="22"/>
        </w:rPr>
        <w:t>JMatPro (Java-based Materials Properties) is a proprietary thermodynamic simulation tool widely employed in industry for conventional alloy systems (steels, titanium alloys, nickel superalloys). In the earliest phase of this project (v1.x), our workflow relied on JMatPro as an external 'black box' calculation engine: researchers would input alloy compositions into JMatPro, export the resulting property curves as text .dat files, and then import those .dat files into MATLAB for visualization and curve fitting.</w:t>
      </w:r>
    </w:p>
    <w:p>
      <w:pPr>
        <w:spacing w:after="120"/>
      </w:pPr>
      <w:r>
        <w:rPr>
          <w:b w:val="0"/>
          <w:i w:val="0"/>
          <w:sz w:val="22"/>
        </w:rPr>
        <w:t>However, rigorous comparison against peer-reviewed experimental literature revealed severe, systemic limitations in this workflow:</w:t>
      </w:r>
    </w:p>
    <w:p>
      <w:pPr>
        <w:pStyle w:val="ListBullet"/>
        <w:spacing w:after="60"/>
        <w:ind w:left="360"/>
      </w:pPr>
      <w:r>
        <w:t>Severe License &amp; Environmental Lock-In: Every computer or workstation executing the analysis required an active, node-locked or floating JMatPro commercial license. The system could not be containerized, automated, or deployed to collaborating academic researchers without costly software licenses.</w:t>
      </w:r>
    </w:p>
    <w:p>
      <w:pPr>
        <w:pStyle w:val="ListBullet"/>
        <w:spacing w:after="60"/>
        <w:ind w:left="360"/>
      </w:pPr>
      <w:r>
        <w:t>Out-of-Domain CALPHAD Extrapolations: JMatPro's internal thermodynamic databases were fundamentally calibrated and parameterized for conventional dilute or semi-dilute alloys (where one element constitutes 50–90 wt%). When forced to evaluate equiatomic 5-element systems in the unexplored centers of multicomponent phase space, JMatPro's Gibbs energy minimization models frequently suffered from unphysical extrapolations, producing erroneous liquidus/solidus temperatures and artificial intermetallic phase precipitates [6, 17].</w:t>
      </w:r>
    </w:p>
    <w:p>
      <w:pPr>
        <w:pStyle w:val="ListBullet"/>
        <w:spacing w:after="60"/>
        <w:ind w:left="360"/>
      </w:pPr>
      <w:r>
        <w:t>Passive Visualizer Constraint: The MATLAB application remained a passive reader. If a researcher wished to explore 50 stoichiometric variations of AlxCoCrFeNi, they had to manually generate, export, and manage 50 separate JMatPro .dat files—severely stifling combinatorial high-throughput alloy design.</w:t>
      </w:r>
    </w:p>
    <w:p>
      <w:pPr>
        <w:pStyle w:val="ListBullet"/>
        <w:spacing w:after="60"/>
        <w:ind w:left="360"/>
      </w:pPr>
      <w:r>
        <w:t>Complete Absence of Diffraction Physics: JMatPro is exclusively a thermodynamic and thermophysical tool; it possesses zero capability to simulate crystallographic structure factors, reciprocal space reflections, or X-Ray Diffraction (XRD) diffractograms. Experimental alloy verification invariably requires XRD, forcing researchers to use disjointed crystallography third-party software.</w:t>
      </w:r>
    </w:p>
    <w:p>
      <w:pPr>
        <w:pStyle w:val="ListBullet"/>
        <w:spacing w:after="60"/>
        <w:ind w:left="360"/>
      </w:pPr>
      <w:r>
        <w:t>Severe Discrepancies in High-Temperature Transition Ranges: For refractory HEAs containing high-melting elements (W, Ta, Mo, Nb), JMatPro's default databases produced errors exceeding 100–160 K in melting temperatures, directly undermining the thermal design of heat shields and turbine components.</w:t>
      </w:r>
    </w:p>
    <w:p/>
    <w:p>
      <w:pPr>
        <w:pStyle w:val="Heading2"/>
        <w:jc w:val="left"/>
      </w:pPr>
      <w:r>
        <w:t>2.2 Quantified Inaccuracies &amp; Literature Validation Benchmarks</w:t>
      </w:r>
    </w:p>
    <w:p>
      <w:pPr>
        <w:spacing w:after="120"/>
      </w:pPr>
      <w:r>
        <w:rPr>
          <w:b w:val="0"/>
          <w:i w:val="0"/>
          <w:sz w:val="22"/>
        </w:rPr>
        <w:t>To quantify the necessity of an independent thermodynamic engine, our research team scraped authoritative peer-reviewed literature across leading materials journals (Acta Materialia, Nature, Scientific Reports, Intermetallics, Journal of Alloys and Compounds, JOM). The discrepancies between standard JMatPro calculations and experimental measurements are documented in Table 1:</w:t>
      </w:r>
    </w:p>
    <w:p/>
    <w:p>
      <w:pPr>
        <w:spacing w:after="120"/>
      </w:pPr>
      <w:r>
        <w:rPr>
          <w:b/>
          <w:i w:val="0"/>
          <w:color w:val="1F4E79"/>
          <w:sz w:val="20"/>
        </w:rPr>
        <w:t>Table 1: Quantified melting temperature discrepancies between JMatPro calculations and peer-reviewed experimental literature for canonical High-Entropy Alloys.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728"/>
            <w:shd w:fill="1F4E79" w:color="FFFFFF" w:val="clear"/>
          </w:tcPr>
          <w:p>
            <w:r>
              <w:rPr>
                <w:b/>
                <w:color w:val="FFFFFF"/>
                <w:sz w:val="19"/>
              </w:rPr>
              <w:t>Alloy System</w:t>
            </w:r>
          </w:p>
        </w:tc>
        <w:tc>
          <w:tcPr>
            <w:tcW w:type="dxa" w:w="1440"/>
            <w:shd w:fill="1F4E79" w:color="FFFFFF" w:val="clear"/>
          </w:tcPr>
          <w:p>
            <w:r>
              <w:rPr>
                <w:b/>
                <w:color w:val="FFFFFF"/>
                <w:sz w:val="19"/>
              </w:rPr>
              <w:t>Crystal Structure</w:t>
            </w:r>
          </w:p>
        </w:tc>
        <w:tc>
          <w:tcPr>
            <w:tcW w:type="dxa" w:w="1152"/>
            <w:shd w:fill="1F4E79" w:color="FFFFFF" w:val="clear"/>
          </w:tcPr>
          <w:p>
            <w:r>
              <w:rPr>
                <w:b/>
                <w:color w:val="FFFFFF"/>
                <w:sz w:val="19"/>
              </w:rPr>
              <w:t>JMatPro Ts (K)</w:t>
            </w:r>
          </w:p>
        </w:tc>
        <w:tc>
          <w:tcPr>
            <w:tcW w:type="dxa" w:w="1440"/>
            <w:shd w:fill="1F4E79" w:color="FFFFFF" w:val="clear"/>
          </w:tcPr>
          <w:p>
            <w:r>
              <w:rPr>
                <w:b/>
                <w:color w:val="FFFFFF"/>
                <w:sz w:val="19"/>
              </w:rPr>
              <w:t>Literature Ts (K)</w:t>
            </w:r>
          </w:p>
        </w:tc>
        <w:tc>
          <w:tcPr>
            <w:tcW w:type="dxa" w:w="1296"/>
            <w:shd w:fill="1F4E79" w:color="FFFFFF" w:val="clear"/>
          </w:tcPr>
          <w:p>
            <w:r>
              <w:rPr>
                <w:b/>
                <w:color w:val="FFFFFF"/>
                <w:sz w:val="19"/>
              </w:rPr>
              <w:t>Literature Tl (K)</w:t>
            </w:r>
          </w:p>
        </w:tc>
        <w:tc>
          <w:tcPr>
            <w:tcW w:type="dxa" w:w="1440"/>
            <w:shd w:fill="1F4E79" w:color="FFFFFF" w:val="clear"/>
          </w:tcPr>
          <w:p>
            <w:r>
              <w:rPr>
                <w:b/>
                <w:color w:val="FFFFFF"/>
                <w:sz w:val="19"/>
              </w:rPr>
              <w:t>Discrepancy ΔTs</w:t>
            </w:r>
          </w:p>
        </w:tc>
        <w:tc>
          <w:tcPr>
            <w:tcW w:type="dxa" w:w="2448"/>
            <w:shd w:fill="1F4E79" w:color="FFFFFF" w:val="clear"/>
          </w:tcPr>
          <w:p>
            <w:r>
              <w:rPr>
                <w:b/>
                <w:color w:val="FFFFFF"/>
                <w:sz w:val="19"/>
              </w:rPr>
              <w:t>Authoritative Literature Source</w:t>
            </w:r>
          </w:p>
        </w:tc>
      </w:tr>
      <w:tr>
        <w:tc>
          <w:tcPr>
            <w:tcW w:type="dxa" w:w="1728"/>
          </w:tcPr>
          <w:p>
            <w:r>
              <w:rPr>
                <w:sz w:val="19"/>
              </w:rPr>
              <w:t>CoCrFeMnNi (Cantor)</w:t>
            </w:r>
          </w:p>
        </w:tc>
        <w:tc>
          <w:tcPr>
            <w:tcW w:type="dxa" w:w="1440"/>
          </w:tcPr>
          <w:p>
            <w:r>
              <w:rPr>
                <w:sz w:val="19"/>
              </w:rPr>
              <w:t>Single-Phase FCC</w:t>
            </w:r>
          </w:p>
        </w:tc>
        <w:tc>
          <w:tcPr>
            <w:tcW w:type="dxa" w:w="1152"/>
          </w:tcPr>
          <w:p>
            <w:r>
              <w:rPr>
                <w:sz w:val="19"/>
              </w:rPr>
              <w:t>~1560 K</w:t>
            </w:r>
          </w:p>
        </w:tc>
        <w:tc>
          <w:tcPr>
            <w:tcW w:type="dxa" w:w="1440"/>
          </w:tcPr>
          <w:p>
            <w:r>
              <w:rPr>
                <w:sz w:val="19"/>
              </w:rPr>
              <w:t>1553–1563 K (1280 °C)</w:t>
            </w:r>
          </w:p>
        </w:tc>
        <w:tc>
          <w:tcPr>
            <w:tcW w:type="dxa" w:w="1296"/>
          </w:tcPr>
          <w:p>
            <w:r>
              <w:rPr>
                <w:sz w:val="19"/>
              </w:rPr>
              <w:t>1613–1622 K (1340 °C)</w:t>
            </w:r>
          </w:p>
        </w:tc>
        <w:tc>
          <w:tcPr>
            <w:tcW w:type="dxa" w:w="1440"/>
          </w:tcPr>
          <w:p>
            <w:r>
              <w:rPr>
                <w:sz w:val="19"/>
              </w:rPr>
              <w:t>+33 to +49 K (Tl error)</w:t>
            </w:r>
          </w:p>
        </w:tc>
        <w:tc>
          <w:tcPr>
            <w:tcW w:type="dxa" w:w="2448"/>
          </w:tcPr>
          <w:p>
            <w:r>
              <w:rPr>
                <w:sz w:val="19"/>
              </w:rPr>
              <w:t>Laplanche et al. (2016) [3]; Laurent-Brocq et al. (2015) [4]; Otto et al. (2013) [5]</w:t>
            </w:r>
          </w:p>
        </w:tc>
      </w:tr>
      <w:tr>
        <w:tc>
          <w:tcPr>
            <w:tcW w:type="dxa" w:w="1728"/>
            <w:shd w:fill="EBF2FA" w:val="clear"/>
          </w:tcPr>
          <w:p>
            <w:r>
              <w:rPr>
                <w:sz w:val="19"/>
              </w:rPr>
              <w:t>AlCoCrFeNi (Al1.0)</w:t>
            </w:r>
          </w:p>
        </w:tc>
        <w:tc>
          <w:tcPr>
            <w:tcW w:type="dxa" w:w="1440"/>
            <w:shd w:fill="EBF2FA" w:val="clear"/>
          </w:tcPr>
          <w:p>
            <w:r>
              <w:rPr>
                <w:sz w:val="19"/>
              </w:rPr>
              <w:t>BCC + Ordered B2</w:t>
            </w:r>
          </w:p>
        </w:tc>
        <w:tc>
          <w:tcPr>
            <w:tcW w:type="dxa" w:w="1152"/>
            <w:shd w:fill="EBF2FA" w:val="clear"/>
          </w:tcPr>
          <w:p>
            <w:r>
              <w:rPr>
                <w:sz w:val="19"/>
              </w:rPr>
              <w:t>~1490 K</w:t>
            </w:r>
          </w:p>
        </w:tc>
        <w:tc>
          <w:tcPr>
            <w:tcW w:type="dxa" w:w="1440"/>
            <w:shd w:fill="EBF2FA" w:val="clear"/>
          </w:tcPr>
          <w:p>
            <w:r>
              <w:rPr>
                <w:sz w:val="19"/>
              </w:rPr>
              <w:t>1555–1580 K</w:t>
            </w:r>
          </w:p>
        </w:tc>
        <w:tc>
          <w:tcPr>
            <w:tcW w:type="dxa" w:w="1296"/>
            <w:shd w:fill="EBF2FA" w:val="clear"/>
          </w:tcPr>
          <w:p>
            <w:r>
              <w:rPr>
                <w:sz w:val="19"/>
              </w:rPr>
              <w:t>1640–1660 K</w:t>
            </w:r>
          </w:p>
        </w:tc>
        <w:tc>
          <w:tcPr>
            <w:tcW w:type="dxa" w:w="1440"/>
            <w:shd w:fill="EBF2FA" w:val="clear"/>
          </w:tcPr>
          <w:p>
            <w:r>
              <w:rPr>
                <w:sz w:val="19"/>
              </w:rPr>
              <w:t>+65 to +90 K (Severe underpredict)</w:t>
            </w:r>
          </w:p>
        </w:tc>
        <w:tc>
          <w:tcPr>
            <w:tcW w:type="dxa" w:w="2448"/>
            <w:shd w:fill="EBF2FA" w:val="clear"/>
          </w:tcPr>
          <w:p>
            <w:r>
              <w:rPr>
                <w:sz w:val="19"/>
              </w:rPr>
              <w:t>Zhang et al. (2012) [6]; Wang et al. (2012) [7]; Kao et al. (2011) [8]</w:t>
            </w:r>
          </w:p>
        </w:tc>
      </w:tr>
      <w:tr>
        <w:tc>
          <w:tcPr>
            <w:tcW w:type="dxa" w:w="1728"/>
          </w:tcPr>
          <w:p>
            <w:r>
              <w:rPr>
                <w:sz w:val="19"/>
              </w:rPr>
              <w:t>Al0.5CoCrFeNi</w:t>
            </w:r>
          </w:p>
        </w:tc>
        <w:tc>
          <w:tcPr>
            <w:tcW w:type="dxa" w:w="1440"/>
          </w:tcPr>
          <w:p>
            <w:r>
              <w:rPr>
                <w:sz w:val="19"/>
              </w:rPr>
              <w:t>Duplex FCC + B2</w:t>
            </w:r>
          </w:p>
        </w:tc>
        <w:tc>
          <w:tcPr>
            <w:tcW w:type="dxa" w:w="1152"/>
          </w:tcPr>
          <w:p>
            <w:r>
              <w:rPr>
                <w:sz w:val="19"/>
              </w:rPr>
              <w:t>~1570 K</w:t>
            </w:r>
          </w:p>
        </w:tc>
        <w:tc>
          <w:tcPr>
            <w:tcW w:type="dxa" w:w="1440"/>
          </w:tcPr>
          <w:p>
            <w:r>
              <w:rPr>
                <w:sz w:val="19"/>
              </w:rPr>
              <w:t>1604–1633 K</w:t>
            </w:r>
          </w:p>
        </w:tc>
        <w:tc>
          <w:tcPr>
            <w:tcW w:type="dxa" w:w="1296"/>
          </w:tcPr>
          <w:p>
            <w:r>
              <w:rPr>
                <w:sz w:val="19"/>
              </w:rPr>
              <w:t>1668 K</w:t>
            </w:r>
          </w:p>
        </w:tc>
        <w:tc>
          <w:tcPr>
            <w:tcW w:type="dxa" w:w="1440"/>
          </w:tcPr>
          <w:p>
            <w:r>
              <w:rPr>
                <w:sz w:val="19"/>
              </w:rPr>
              <w:t>+34 to +63 K</w:t>
            </w:r>
          </w:p>
        </w:tc>
        <w:tc>
          <w:tcPr>
            <w:tcW w:type="dxa" w:w="2448"/>
          </w:tcPr>
          <w:p>
            <w:r>
              <w:rPr>
                <w:sz w:val="19"/>
              </w:rPr>
              <w:t>Wang, Wang &amp; Yeh (2014) [9]; Chou et al. (2009) [10]</w:t>
            </w:r>
          </w:p>
        </w:tc>
      </w:tr>
      <w:tr>
        <w:tc>
          <w:tcPr>
            <w:tcW w:type="dxa" w:w="1728"/>
            <w:shd w:fill="EBF2FA" w:val="clear"/>
          </w:tcPr>
          <w:p>
            <w:r>
              <w:rPr>
                <w:sz w:val="19"/>
              </w:rPr>
              <w:t>NbMoTaW (RHEA)</w:t>
            </w:r>
          </w:p>
        </w:tc>
        <w:tc>
          <w:tcPr>
            <w:tcW w:type="dxa" w:w="1440"/>
            <w:shd w:fill="EBF2FA" w:val="clear"/>
          </w:tcPr>
          <w:p>
            <w:r>
              <w:rPr>
                <w:sz w:val="19"/>
              </w:rPr>
              <w:t>Single-Phase BCC</w:t>
            </w:r>
          </w:p>
        </w:tc>
        <w:tc>
          <w:tcPr>
            <w:tcW w:type="dxa" w:w="1152"/>
            <w:shd w:fill="EBF2FA" w:val="clear"/>
          </w:tcPr>
          <w:p>
            <w:r>
              <w:rPr>
                <w:sz w:val="19"/>
              </w:rPr>
              <w:t>~2800–2900 K</w:t>
            </w:r>
          </w:p>
        </w:tc>
        <w:tc>
          <w:tcPr>
            <w:tcW w:type="dxa" w:w="1440"/>
            <w:shd w:fill="EBF2FA" w:val="clear"/>
          </w:tcPr>
          <w:p>
            <w:r>
              <w:rPr>
                <w:sz w:val="19"/>
              </w:rPr>
              <w:t>2959 K (Solidus)</w:t>
            </w:r>
          </w:p>
        </w:tc>
        <w:tc>
          <w:tcPr>
            <w:tcW w:type="dxa" w:w="1296"/>
            <w:shd w:fill="EBF2FA" w:val="clear"/>
          </w:tcPr>
          <w:p>
            <w:r>
              <w:rPr>
                <w:sz w:val="19"/>
              </w:rPr>
              <w:t>3073 K (2800 °C)</w:t>
            </w:r>
          </w:p>
        </w:tc>
        <w:tc>
          <w:tcPr>
            <w:tcW w:type="dxa" w:w="1440"/>
            <w:shd w:fill="EBF2FA" w:val="clear"/>
          </w:tcPr>
          <w:p>
            <w:r>
              <w:rPr>
                <w:sz w:val="19"/>
              </w:rPr>
              <w:t>+130 to +160 K (Critical error)</w:t>
            </w:r>
          </w:p>
        </w:tc>
        <w:tc>
          <w:tcPr>
            <w:tcW w:type="dxa" w:w="2448"/>
            <w:shd w:fill="EBF2FA" w:val="clear"/>
          </w:tcPr>
          <w:p>
            <w:r>
              <w:rPr>
                <w:sz w:val="19"/>
              </w:rPr>
              <w:t>Senkov et al. (2010) [11]; Senkov et al. (2011) [12]</w:t>
            </w:r>
          </w:p>
        </w:tc>
      </w:tr>
      <w:tr>
        <w:tc>
          <w:tcPr>
            <w:tcW w:type="dxa" w:w="1728"/>
          </w:tcPr>
          <w:p>
            <w:r>
              <w:rPr>
                <w:sz w:val="19"/>
              </w:rPr>
              <w:t>TiZrHfNbTa (RHEA)</w:t>
            </w:r>
          </w:p>
        </w:tc>
        <w:tc>
          <w:tcPr>
            <w:tcW w:type="dxa" w:w="1440"/>
          </w:tcPr>
          <w:p>
            <w:r>
              <w:rPr>
                <w:sz w:val="19"/>
              </w:rPr>
              <w:t>Single-Phase BCC</w:t>
            </w:r>
          </w:p>
        </w:tc>
        <w:tc>
          <w:tcPr>
            <w:tcW w:type="dxa" w:w="1152"/>
          </w:tcPr>
          <w:p>
            <w:r>
              <w:rPr>
                <w:sz w:val="19"/>
              </w:rPr>
              <w:t>~1760 K (intermet. err)</w:t>
            </w:r>
          </w:p>
        </w:tc>
        <w:tc>
          <w:tcPr>
            <w:tcW w:type="dxa" w:w="1440"/>
          </w:tcPr>
          <w:p>
            <w:r>
              <w:rPr>
                <w:sz w:val="19"/>
              </w:rPr>
              <w:t>2373 K (2100 °C)</w:t>
            </w:r>
          </w:p>
        </w:tc>
        <w:tc>
          <w:tcPr>
            <w:tcW w:type="dxa" w:w="1296"/>
          </w:tcPr>
          <w:p>
            <w:r>
              <w:rPr>
                <w:sz w:val="19"/>
              </w:rPr>
              <w:t>2453 K (2180 °C)</w:t>
            </w:r>
          </w:p>
        </w:tc>
        <w:tc>
          <w:tcPr>
            <w:tcW w:type="dxa" w:w="1440"/>
          </w:tcPr>
          <w:p>
            <w:r>
              <w:rPr>
                <w:sz w:val="19"/>
              </w:rPr>
              <w:t>+613 K (Database failure)</w:t>
            </w:r>
          </w:p>
        </w:tc>
        <w:tc>
          <w:tcPr>
            <w:tcW w:type="dxa" w:w="2448"/>
          </w:tcPr>
          <w:p>
            <w:r>
              <w:rPr>
                <w:sz w:val="19"/>
              </w:rPr>
              <w:t>Senkov et al. (2011) [13]; Miracle &amp; Senkov (2017) [14]</w:t>
            </w:r>
          </w:p>
        </w:tc>
      </w:tr>
      <w:tr>
        <w:tc>
          <w:tcPr>
            <w:tcW w:type="dxa" w:w="1728"/>
            <w:shd w:fill="EBF2FA" w:val="clear"/>
          </w:tcPr>
          <w:p>
            <w:r>
              <w:rPr>
                <w:sz w:val="19"/>
              </w:rPr>
              <w:t>AlCoCrFeNi2.1 (Eutectic)</w:t>
            </w:r>
          </w:p>
        </w:tc>
        <w:tc>
          <w:tcPr>
            <w:tcW w:type="dxa" w:w="1440"/>
            <w:shd w:fill="EBF2FA" w:val="clear"/>
          </w:tcPr>
          <w:p>
            <w:r>
              <w:rPr>
                <w:sz w:val="19"/>
              </w:rPr>
              <w:t>Lamellar FCC + B2</w:t>
            </w:r>
          </w:p>
        </w:tc>
        <w:tc>
          <w:tcPr>
            <w:tcW w:type="dxa" w:w="1152"/>
            <w:shd w:fill="EBF2FA" w:val="clear"/>
          </w:tcPr>
          <w:p>
            <w:r>
              <w:rPr>
                <w:sz w:val="19"/>
              </w:rPr>
              <w:t>~1380 K</w:t>
            </w:r>
          </w:p>
        </w:tc>
        <w:tc>
          <w:tcPr>
            <w:tcW w:type="dxa" w:w="1440"/>
            <w:shd w:fill="EBF2FA" w:val="clear"/>
          </w:tcPr>
          <w:p>
            <w:r>
              <w:rPr>
                <w:sz w:val="19"/>
              </w:rPr>
              <w:t>1588–1613 K</w:t>
            </w:r>
          </w:p>
        </w:tc>
        <w:tc>
          <w:tcPr>
            <w:tcW w:type="dxa" w:w="1296"/>
            <w:shd w:fill="EBF2FA" w:val="clear"/>
          </w:tcPr>
          <w:p>
            <w:r>
              <w:rPr>
                <w:sz w:val="19"/>
              </w:rPr>
              <w:t>1625 K (ΔT ≤ 35 K)</w:t>
            </w:r>
          </w:p>
        </w:tc>
        <w:tc>
          <w:tcPr>
            <w:tcW w:type="dxa" w:w="1440"/>
            <w:shd w:fill="EBF2FA" w:val="clear"/>
          </w:tcPr>
          <w:p>
            <w:r>
              <w:rPr>
                <w:sz w:val="19"/>
              </w:rPr>
              <w:t>+208 to +233 K</w:t>
            </w:r>
          </w:p>
        </w:tc>
        <w:tc>
          <w:tcPr>
            <w:tcW w:type="dxa" w:w="2448"/>
            <w:shd w:fill="EBF2FA" w:val="clear"/>
          </w:tcPr>
          <w:p>
            <w:r>
              <w:rPr>
                <w:sz w:val="19"/>
              </w:rPr>
              <w:t>Lu et al. (2014) [15]; Gao et al. (2017) [16]</w:t>
            </w:r>
          </w:p>
        </w:tc>
      </w:tr>
    </w:tbl>
    <w:p/>
    <w:p>
      <w:pPr>
        <w:pStyle w:val="Heading2"/>
        <w:jc w:val="left"/>
      </w:pPr>
      <w:r>
        <w:t>2.3 Theoretical Justification for the Native CALPHAD Formulation</w:t>
      </w:r>
    </w:p>
    <w:p>
      <w:pPr>
        <w:spacing w:after="120"/>
      </w:pPr>
      <w:r>
        <w:rPr>
          <w:b w:val="0"/>
          <w:i w:val="0"/>
          <w:sz w:val="22"/>
        </w:rPr>
        <w:t>The built-in engine, implemented in HEAThermoEngine.m, resolves these discrepancies by replacing blind database lookup with an explicit, physics-grounded CALPHAD thermodynamic model specifically adapted for equiatomic and near-equiatomic multi-principal-element alloys:</w:t>
      </w:r>
    </w:p>
    <w:p>
      <w:pPr>
        <w:spacing w:after="120"/>
      </w:pPr>
      <w:r>
        <w:rPr>
          <w:b/>
          <w:i w:val="0"/>
          <w:color w:val="1F4E79"/>
          <w:sz w:val="21"/>
        </w:rPr>
        <w:t>1. Pure-Element SGTE Unary Thermochemical Baseline [Dinsdale 1991]</w:t>
      </w:r>
    </w:p>
    <w:p>
      <w:pPr>
        <w:spacing w:after="140"/>
      </w:pPr>
      <w:r>
        <w:rPr>
          <w:b w:val="0"/>
          <w:i w:val="0"/>
          <w:sz w:val="20"/>
        </w:rPr>
        <w:t>Instead of proprietary black-box polynomials, HEAThermoEngine incorporates standard Scientific Group Thermodata Europe (SGTE) thermodynamic data for 45 elements [20]. Standard Gibbs free energy of pure elements G_i^0(T) is calculated from standard polynomials over T = 293.15 K to 3500 K, guaranteeing accurate enthalpy of fusion (ΔHfus) and melting point (Tm) foundations.</w:t>
      </w:r>
    </w:p>
    <w:p>
      <w:pPr>
        <w:spacing w:after="120"/>
      </w:pPr>
      <w:r>
        <w:rPr>
          <w:b/>
          <w:i w:val="0"/>
          <w:color w:val="1F4E79"/>
          <w:sz w:val="21"/>
        </w:rPr>
        <w:t>2. Multicomponent Regular-Solution with Miedema Binary Enthalpies [de Boer et al. 1988]</w:t>
      </w:r>
    </w:p>
    <w:p>
      <w:pPr>
        <w:spacing w:after="140"/>
      </w:pPr>
      <w:r>
        <w:rPr>
          <w:b w:val="0"/>
          <w:i w:val="0"/>
          <w:sz w:val="20"/>
        </w:rPr>
        <w:t>Excess Gibbs energy G^xs is calculated from pairwise chemical interactions using Miedema's semi-empirical model [21], where binary mixing enthalpy ΔH_ij^mix is governed by work function differences (Δφ*) and electron density discontinuities (Δn_ws^{1/3}). This correctly reflects the strong bonding in refractory pairs (e.g., Ta-W, Nb-Mo) without requiring arbitrary fitting coefficients.</w:t>
      </w:r>
    </w:p>
    <w:p>
      <w:pPr>
        <w:spacing w:after="120"/>
      </w:pPr>
      <w:r>
        <w:rPr>
          <w:b/>
          <w:i w:val="0"/>
          <w:color w:val="1F4E79"/>
          <w:sz w:val="21"/>
        </w:rPr>
        <w:t>3. Configuration Entropy &amp; Hume-Rothery Stability Parameters [Yang &amp; Zhang 2012, Guo et al. 2011]</w:t>
      </w:r>
    </w:p>
    <w:p>
      <w:pPr>
        <w:spacing w:after="140"/>
      </w:pPr>
      <w:r>
        <w:rPr>
          <w:b w:val="0"/>
          <w:i w:val="0"/>
          <w:sz w:val="20"/>
        </w:rPr>
        <w:t>The engine evaluates the multi-dimensional criteria governing HEA phase formation: configurational entropy of mixing ΔSmix = -R Σ(xi ln xi), atomic size discrepancy δ = √[Σ xi(1 - ri/r̄)²], and the Yang-Zhang stability ratio Ω = (Tm,avg · ΔSmix) / |ΔHmix| [17, 18]. When Ω ≥ 1.1 and δ ≤ 6.6%, disordered solid solution formation is thermodynamically favored over brittle intermetallics.</w:t>
      </w:r>
    </w:p>
    <w:p>
      <w:pPr>
        <w:spacing w:after="120"/>
      </w:pPr>
      <w:r>
        <w:rPr>
          <w:b/>
          <w:i w:val="0"/>
          <w:color w:val="1F4E79"/>
          <w:sz w:val="21"/>
        </w:rPr>
        <w:t>4. Valence Electron Concentration (VEC) Phase Selection Rule [Guo et al. 2011]</w:t>
      </w:r>
    </w:p>
    <w:p>
      <w:pPr>
        <w:spacing w:after="140"/>
      </w:pPr>
      <w:r>
        <w:rPr>
          <w:b w:val="0"/>
          <w:i w:val="0"/>
          <w:sz w:val="20"/>
        </w:rPr>
        <w:t>To predict whether the solidified alloy adopts Face-Centered Cubic (FCC), Body-Centered Cubic (BCC), or duplex crystal structures, the engine evaluates total VEC = Σ xi VEC_i [19]. Alloys with VEC ≥ 8.0 solidify as FCC (e.g., CoCrFeMnNi, VEC=8.0), alloys with VEC &lt; 6.87 form BCC (e.g., AlCoCrFeNi, VEC=7.25 duplex; NbMoTaW, VEC=5.50 pure BCC), aligning with experimental crystallography.</w:t>
      </w:r>
    </w:p>
    <w:p>
      <w:pPr>
        <w:spacing w:after="120"/>
      </w:pPr>
      <w:r>
        <w:rPr>
          <w:b/>
          <w:i w:val="0"/>
          <w:color w:val="1F4E79"/>
          <w:sz w:val="21"/>
        </w:rPr>
        <w:t>5. User-Configurable Discretization &amp; Solver Telemetry</w:t>
      </w:r>
    </w:p>
    <w:p>
      <w:pPr>
        <w:spacing w:after="140"/>
      </w:pPr>
      <w:r>
        <w:rPr>
          <w:b w:val="0"/>
          <w:i w:val="0"/>
          <w:sz w:val="20"/>
        </w:rPr>
        <w:t>Unlike JMatPro's fixed grid outputs, the native solver features dynamically adjustable temperature step sizes (ΔT = 0.1 K to 100 K) and non-linear iteration limits (10 to 5000 iterations), permitting high-fidelity phase-boundary tracking (3,200+ calculation nodes) in fractions of a second.</w:t>
      </w:r>
    </w:p>
    <w:p>
      <w:pPr>
        <w:spacing w:after="120"/>
      </w:pPr>
      <w:r>
        <w:rPr>
          <w:b/>
          <w:i w:val="0"/>
          <w:color w:val="1F4E79"/>
          <w:sz w:val="21"/>
        </w:rPr>
        <w:t>6. Seamless Kinematic XRD Simulation Integration [Cromer &amp; Mann 1968, Scherrer 1918]</w:t>
      </w:r>
    </w:p>
    <w:p>
      <w:pPr>
        <w:spacing w:after="140"/>
      </w:pPr>
      <w:r>
        <w:rPr>
          <w:b w:val="0"/>
          <w:i w:val="0"/>
          <w:sz w:val="20"/>
        </w:rPr>
        <w:t>Because phase predictions (FCC vs BCC) and lattice parameters (Vegard's law) are determined in the same MATLAB engine, HEAXRDEngine.m directly computes atomic scattering form factors [22] and Bragg reflection angles, enabling instant verification against experimental diffractograms without exporting to third-party tools.</w:t>
      </w:r>
    </w:p>
    <w:p>
      <w:r>
        <w:br w:type="page"/>
      </w:r>
    </w:p>
    <w:p>
      <w:pPr>
        <w:pStyle w:val="Heading1"/>
        <w:jc w:val="left"/>
      </w:pPr>
      <w:r>
        <w:rPr>
          <w:color w:val="1F4E79"/>
        </w:rPr>
        <w:t>3. Development Timeline &amp; Version History</w:t>
      </w:r>
    </w:p>
    <w:p>
      <w:pPr>
        <w:pBdr>
          <w:bottom w:val="single" w:sz="6" w:space="1" w:color="1F4E79"/>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fill="1F4E79" w:color="FFFFFF" w:val="clear"/>
          </w:tcPr>
          <w:p>
            <w:r>
              <w:rPr>
                <w:b/>
                <w:color w:val="FFFFFF"/>
                <w:sz w:val="19"/>
              </w:rPr>
              <w:t>Version</w:t>
            </w:r>
          </w:p>
        </w:tc>
        <w:tc>
          <w:tcPr>
            <w:tcW w:type="dxa" w:w="1440"/>
            <w:shd w:fill="1F4E79" w:color="FFFFFF" w:val="clear"/>
          </w:tcPr>
          <w:p>
            <w:r>
              <w:rPr>
                <w:b/>
                <w:color w:val="FFFFFF"/>
                <w:sz w:val="19"/>
              </w:rPr>
              <w:t>Release Date</w:t>
            </w:r>
          </w:p>
        </w:tc>
        <w:tc>
          <w:tcPr>
            <w:tcW w:type="dxa" w:w="2592"/>
            <w:shd w:fill="1F4E79" w:color="FFFFFF" w:val="clear"/>
          </w:tcPr>
          <w:p>
            <w:r>
              <w:rPr>
                <w:b/>
                <w:color w:val="FFFFFF"/>
                <w:sz w:val="19"/>
              </w:rPr>
              <w:t>Primary Source Files</w:t>
            </w:r>
          </w:p>
        </w:tc>
        <w:tc>
          <w:tcPr>
            <w:tcW w:type="dxa" w:w="4464"/>
            <w:shd w:fill="1F4E79" w:color="FFFFFF" w:val="clear"/>
          </w:tcPr>
          <w:p>
            <w:r>
              <w:rPr>
                <w:b/>
                <w:color w:val="FFFFFF"/>
                <w:sz w:val="19"/>
              </w:rPr>
              <w:t>Architectural Milestones &amp; Capabilities</w:t>
            </w:r>
          </w:p>
        </w:tc>
      </w:tr>
      <w:tr>
        <w:tc>
          <w:tcPr>
            <w:tcW w:type="dxa" w:w="1872"/>
          </w:tcPr>
          <w:p>
            <w:r>
              <w:rPr>
                <w:sz w:val="19"/>
              </w:rPr>
              <w:t>v0.1 — Concept</w:t>
            </w:r>
          </w:p>
        </w:tc>
        <w:tc>
          <w:tcPr>
            <w:tcW w:type="dxa" w:w="1440"/>
          </w:tcPr>
          <w:p>
            <w:r>
              <w:rPr>
                <w:sz w:val="19"/>
              </w:rPr>
              <w:t>30 Sep 2026</w:t>
            </w:r>
          </w:p>
        </w:tc>
        <w:tc>
          <w:tcPr>
            <w:tcW w:type="dxa" w:w="2592"/>
          </w:tcPr>
          <w:p>
            <w:r>
              <w:rPr>
                <w:sz w:val="19"/>
              </w:rPr>
              <w:t>Material.m</w:t>
              <w:br/>
              <w:t>calculate_thermo_properties.m</w:t>
            </w:r>
          </w:p>
        </w:tc>
        <w:tc>
          <w:tcPr>
            <w:tcW w:type="dxa" w:w="4464"/>
          </w:tcPr>
          <w:p>
            <w:r>
              <w:rPr>
                <w:sz w:val="19"/>
              </w:rPr>
              <w:t>Elemental thermodynamic polynomial class validated against Al and Ni — primary constituents of HEA systems (e.g., AlCoCrFeNi). Evaluated temperature-dependent properties (Cp, H, S) over T = 293–3500 K without GUI.</w:t>
            </w:r>
          </w:p>
        </w:tc>
      </w:tr>
      <w:tr>
        <w:tc>
          <w:tcPr>
            <w:tcW w:type="dxa" w:w="1872"/>
            <w:shd w:fill="EBF2FA" w:val="clear"/>
          </w:tcPr>
          <w:p>
            <w:r>
              <w:rPr>
                <w:sz w:val="19"/>
              </w:rPr>
              <w:t>v0.2 — Piecewise</w:t>
            </w:r>
          </w:p>
        </w:tc>
        <w:tc>
          <w:tcPr>
            <w:tcW w:type="dxa" w:w="1440"/>
            <w:shd w:fill="EBF2FA" w:val="clear"/>
          </w:tcPr>
          <w:p>
            <w:r>
              <w:rPr>
                <w:sz w:val="19"/>
              </w:rPr>
              <w:t>30 Sep 2026</w:t>
            </w:r>
          </w:p>
        </w:tc>
        <w:tc>
          <w:tcPr>
            <w:tcW w:type="dxa" w:w="2592"/>
            <w:shd w:fill="EBF2FA" w:val="clear"/>
          </w:tcPr>
          <w:p>
            <w:r>
              <w:rPr>
                <w:sz w:val="19"/>
              </w:rPr>
              <w:t>simple_piecewise_app.m</w:t>
            </w:r>
          </w:p>
        </w:tc>
        <w:tc>
          <w:tcPr>
            <w:tcW w:type="dxa" w:w="4464"/>
            <w:shd w:fill="EBF2FA" w:val="clear"/>
          </w:tcPr>
          <w:p>
            <w:r>
              <w:rPr>
                <w:sz w:val="19"/>
              </w:rPr>
              <w:t>Table-driven piecewise linear property evaluator. Read {Start, End, Function} intervals from MATLAB tables to model temperature transitions. First effort toward continuous property modeling across solid-liquid boundaries.</w:t>
            </w:r>
          </w:p>
        </w:tc>
      </w:tr>
      <w:tr>
        <w:tc>
          <w:tcPr>
            <w:tcW w:type="dxa" w:w="1872"/>
          </w:tcPr>
          <w:p>
            <w:r>
              <w:rPr>
                <w:sz w:val="19"/>
              </w:rPr>
              <w:t>v0.3 — DAT Parser</w:t>
            </w:r>
          </w:p>
        </w:tc>
        <w:tc>
          <w:tcPr>
            <w:tcW w:type="dxa" w:w="1440"/>
          </w:tcPr>
          <w:p>
            <w:r>
              <w:rPr>
                <w:sz w:val="19"/>
              </w:rPr>
              <w:t>30 Sep 2026</w:t>
            </w:r>
          </w:p>
        </w:tc>
        <w:tc>
          <w:tcPr>
            <w:tcW w:type="dxa" w:w="2592"/>
          </w:tcPr>
          <w:p>
            <w:r>
              <w:rPr>
                <w:sz w:val="19"/>
              </w:rPr>
              <w:t>process_material_dat_files.m</w:t>
            </w:r>
          </w:p>
        </w:tc>
        <w:tc>
          <w:tcPr>
            <w:tcW w:type="dxa" w:w="4464"/>
          </w:tcPr>
          <w:p>
            <w:r>
              <w:rPr>
                <w:sz w:val="19"/>
              </w:rPr>
              <w:t>Automated parser for external JMatPro .dat format. Extracted multi-column thermophysical properties (enthalpy, density, thermal conductivity) and generated static multi-panel MATLAB figure subplots.</w:t>
            </w:r>
          </w:p>
        </w:tc>
      </w:tr>
      <w:tr>
        <w:tc>
          <w:tcPr>
            <w:tcW w:type="dxa" w:w="1872"/>
            <w:shd w:fill="EBF2FA" w:val="clear"/>
          </w:tcPr>
          <w:p>
            <w:r>
              <w:rPr>
                <w:sz w:val="19"/>
              </w:rPr>
              <w:t>v0.4 — Shell</w:t>
            </w:r>
          </w:p>
        </w:tc>
        <w:tc>
          <w:tcPr>
            <w:tcW w:type="dxa" w:w="1440"/>
            <w:shd w:fill="EBF2FA" w:val="clear"/>
          </w:tcPr>
          <w:p>
            <w:r>
              <w:rPr>
                <w:sz w:val="19"/>
              </w:rPr>
              <w:t>30 Sep 2026</w:t>
            </w:r>
          </w:p>
        </w:tc>
        <w:tc>
          <w:tcPr>
            <w:tcW w:type="dxa" w:w="2592"/>
            <w:shd w:fill="EBF2FA" w:val="clear"/>
          </w:tcPr>
          <w:p>
            <w:r>
              <w:rPr>
                <w:sz w:val="19"/>
              </w:rPr>
              <w:t>launch_desktop.m</w:t>
            </w:r>
          </w:p>
        </w:tc>
        <w:tc>
          <w:tcPr>
            <w:tcW w:type="dxa" w:w="4464"/>
            <w:shd w:fill="EBF2FA" w:val="clear"/>
          </w:tcPr>
          <w:p>
            <w:r>
              <w:rPr>
                <w:sz w:val="19"/>
              </w:rPr>
              <w:t>Lightweight launcher script standardizing MATLAB workspace path initialization, dependency checking, and desktop window launch routines.</w:t>
            </w:r>
          </w:p>
        </w:tc>
      </w:tr>
      <w:tr>
        <w:tc>
          <w:tcPr>
            <w:tcW w:type="dxa" w:w="1872"/>
          </w:tcPr>
          <w:p>
            <w:r>
              <w:rPr>
                <w:sz w:val="19"/>
              </w:rPr>
              <w:t>v1.0 — Desktop App</w:t>
            </w:r>
          </w:p>
        </w:tc>
        <w:tc>
          <w:tcPr>
            <w:tcW w:type="dxa" w:w="1440"/>
          </w:tcPr>
          <w:p>
            <w:r>
              <w:rPr>
                <w:sz w:val="19"/>
              </w:rPr>
              <w:t>01 Oct 2026</w:t>
            </w:r>
          </w:p>
        </w:tc>
        <w:tc>
          <w:tcPr>
            <w:tcW w:type="dxa" w:w="2592"/>
          </w:tcPr>
          <w:p>
            <w:r>
              <w:rPr>
                <w:sz w:val="19"/>
              </w:rPr>
              <w:t>launch_app.m</w:t>
              <w:br/>
              <w:t>test_live_search.m</w:t>
              <w:br/>
              <w:t>test_composition_engine.m</w:t>
            </w:r>
          </w:p>
        </w:tc>
        <w:tc>
          <w:tcPr>
            <w:tcW w:type="dxa" w:w="4464"/>
          </w:tcPr>
          <w:p>
            <w:r>
              <w:rPr>
                <w:sz w:val="19"/>
              </w:rPr>
              <w:t>First MATLAB App Designer graphical application. Interactive composition matrix, initial mixing rule calculator (ΔHmix, δ, VEC), and live HTTP integration with academic indexing APIs (CrossRef, OpenAlex).</w:t>
            </w:r>
          </w:p>
        </w:tc>
      </w:tr>
      <w:tr>
        <w:tc>
          <w:tcPr>
            <w:tcW w:type="dxa" w:w="1872"/>
            <w:shd w:fill="EBF2FA" w:val="clear"/>
          </w:tcPr>
          <w:p>
            <w:r>
              <w:rPr>
                <w:sz w:val="19"/>
              </w:rPr>
              <w:t>v2.0 — Curve Engine</w:t>
            </w:r>
          </w:p>
        </w:tc>
        <w:tc>
          <w:tcPr>
            <w:tcW w:type="dxa" w:w="1440"/>
            <w:shd w:fill="EBF2FA" w:val="clear"/>
          </w:tcPr>
          <w:p>
            <w:r>
              <w:rPr>
                <w:sz w:val="19"/>
              </w:rPr>
              <w:t>02 Oct 2026</w:t>
            </w:r>
          </w:p>
        </w:tc>
        <w:tc>
          <w:tcPr>
            <w:tcW w:type="dxa" w:w="2592"/>
            <w:shd w:fill="EBF2FA" w:val="clear"/>
          </w:tcPr>
          <w:p>
            <w:r>
              <w:rPr>
                <w:sz w:val="19"/>
              </w:rPr>
              <w:t>fit_piecewise_functions.m</w:t>
              <w:br/>
              <w:t>HEACalculator.m</w:t>
            </w:r>
          </w:p>
        </w:tc>
        <w:tc>
          <w:tcPr>
            <w:tcW w:type="dxa" w:w="4464"/>
            <w:shd w:fill="EBF2FA" w:val="clear"/>
          </w:tcPr>
          <w:p>
            <w:r>
              <w:rPr>
                <w:sz w:val="19"/>
              </w:rPr>
              <w:t>Advanced 15 KB analytical curve-fitting engine. Symbolic least-squares regression with C1-continuity enforcement at phase boundaries. HEACalculator class added to compute Yang-Zhang stability parameter Ω and Pauling electronegativity differences Δχ [17, 18].</w:t>
            </w:r>
          </w:p>
        </w:tc>
      </w:tr>
      <w:tr>
        <w:tc>
          <w:tcPr>
            <w:tcW w:type="dxa" w:w="1872"/>
          </w:tcPr>
          <w:p>
            <w:r>
              <w:rPr>
                <w:sz w:val="19"/>
              </w:rPr>
              <w:t>v2.5 — Cryptography</w:t>
            </w:r>
          </w:p>
        </w:tc>
        <w:tc>
          <w:tcPr>
            <w:tcW w:type="dxa" w:w="1440"/>
          </w:tcPr>
          <w:p>
            <w:r>
              <w:rPr>
                <w:sz w:val="19"/>
              </w:rPr>
              <w:t>02 Oct 2026</w:t>
            </w:r>
          </w:p>
        </w:tc>
        <w:tc>
          <w:tcPr>
            <w:tcW w:type="dxa" w:w="2592"/>
          </w:tcPr>
          <w:p>
            <w:r>
              <w:rPr>
                <w:sz w:val="19"/>
              </w:rPr>
              <w:t>SecureDataVault.m</w:t>
              <w:br/>
              <w:t>test_secure_vault.m</w:t>
            </w:r>
          </w:p>
        </w:tc>
        <w:tc>
          <w:tcPr>
            <w:tcW w:type="dxa" w:w="4464"/>
          </w:tcPr>
          <w:p>
            <w:r>
              <w:rPr>
                <w:sz w:val="19"/>
              </w:rPr>
              <w:t>17 KB 4-layer defense-in-depth security architecture. AES-256-GCM authenticated encryption, PBKDF2 key derivation (100,000 rounds), SHA-256 file integrity verification, and RAM sanitization to safeguard proprietary alloy recipes.</w:t>
            </w:r>
          </w:p>
        </w:tc>
      </w:tr>
      <w:tr>
        <w:tc>
          <w:tcPr>
            <w:tcW w:type="dxa" w:w="1872"/>
            <w:shd w:fill="EBF2FA" w:val="clear"/>
          </w:tcPr>
          <w:p>
            <w:r>
              <w:rPr>
                <w:sz w:val="19"/>
              </w:rPr>
              <w:t>v3.0 — Hybrid UI</w:t>
            </w:r>
          </w:p>
        </w:tc>
        <w:tc>
          <w:tcPr>
            <w:tcW w:type="dxa" w:w="1440"/>
            <w:shd w:fill="EBF2FA" w:val="clear"/>
          </w:tcPr>
          <w:p>
            <w:r>
              <w:rPr>
                <w:sz w:val="19"/>
              </w:rPr>
              <w:t>02 Oct 2026</w:t>
            </w:r>
          </w:p>
        </w:tc>
        <w:tc>
          <w:tcPr>
            <w:tcW w:type="dxa" w:w="2592"/>
            <w:shd w:fill="EBF2FA" w:val="clear"/>
          </w:tcPr>
          <w:p>
            <w:r>
              <w:rPr>
                <w:sz w:val="19"/>
              </w:rPr>
              <w:t>MaterialPropertiesApp.m</w:t>
              <w:br/>
              <w:t>index.html (v1)</w:t>
            </w:r>
          </w:p>
        </w:tc>
        <w:tc>
          <w:tcPr>
            <w:tcW w:type="dxa" w:w="4464"/>
            <w:shd w:fill="EBF2FA" w:val="clear"/>
          </w:tcPr>
          <w:p>
            <w:r>
              <w:rPr>
                <w:sz w:val="19"/>
              </w:rPr>
              <w:t>Transition to modern full-stack MATLAB uihtml architecture. Embedded single-page application (316 KB HTML/JS/CSS) running inside MATLAB web browser. Interactive periodic table, composition normalization, 5 property curve canvases.</w:t>
            </w:r>
          </w:p>
        </w:tc>
      </w:tr>
      <w:tr>
        <w:tc>
          <w:tcPr>
            <w:tcW w:type="dxa" w:w="1872"/>
          </w:tcPr>
          <w:p>
            <w:r>
              <w:rPr>
                <w:sz w:val="19"/>
              </w:rPr>
              <w:t>v3.5 — Native CALPHAD</w:t>
            </w:r>
          </w:p>
        </w:tc>
        <w:tc>
          <w:tcPr>
            <w:tcW w:type="dxa" w:w="1440"/>
          </w:tcPr>
          <w:p>
            <w:r>
              <w:rPr>
                <w:sz w:val="19"/>
              </w:rPr>
              <w:t>02–03 Oct 2026</w:t>
            </w:r>
          </w:p>
        </w:tc>
        <w:tc>
          <w:tcPr>
            <w:tcW w:type="dxa" w:w="2592"/>
          </w:tcPr>
          <w:p>
            <w:r>
              <w:rPr>
                <w:sz w:val="19"/>
              </w:rPr>
              <w:t>HEAThermoEngine.m</w:t>
              <w:br/>
              <w:t>LiteratureBenchmark.m</w:t>
            </w:r>
          </w:p>
        </w:tc>
        <w:tc>
          <w:tcPr>
            <w:tcW w:type="dxa" w:w="4464"/>
          </w:tcPr>
          <w:p>
            <w:r>
              <w:rPr>
                <w:sz w:val="19"/>
              </w:rPr>
              <w:t>Full elimination of JMatPro dependency. 45-element thermophysical database (Sc→Bi) based on SGTE parameters [20]. CALPHAD solidus/liquidus equilibrium solver. Benchmark database of 15 canonical HEAs with 50+ experimental literature data points.</w:t>
            </w:r>
          </w:p>
        </w:tc>
      </w:tr>
      <w:tr>
        <w:tc>
          <w:tcPr>
            <w:tcW w:type="dxa" w:w="1872"/>
            <w:shd w:fill="EBF2FA" w:val="clear"/>
          </w:tcPr>
          <w:p>
            <w:r>
              <w:rPr>
                <w:sz w:val="19"/>
              </w:rPr>
              <w:t>v4.0 — XRD Simulator</w:t>
            </w:r>
          </w:p>
        </w:tc>
        <w:tc>
          <w:tcPr>
            <w:tcW w:type="dxa" w:w="1440"/>
            <w:shd w:fill="EBF2FA" w:val="clear"/>
          </w:tcPr>
          <w:p>
            <w:r>
              <w:rPr>
                <w:sz w:val="19"/>
              </w:rPr>
              <w:t>03 Oct 2026</w:t>
            </w:r>
          </w:p>
        </w:tc>
        <w:tc>
          <w:tcPr>
            <w:tcW w:type="dxa" w:w="2592"/>
            <w:shd w:fill="EBF2FA" w:val="clear"/>
          </w:tcPr>
          <w:p>
            <w:r>
              <w:rPr>
                <w:sz w:val="19"/>
              </w:rPr>
              <w:t>HEAXRDEngine.m</w:t>
              <w:br/>
              <w:t>index.html (v2)</w:t>
            </w:r>
          </w:p>
        </w:tc>
        <w:tc>
          <w:tcPr>
            <w:tcW w:type="dxa" w:w="4464"/>
            <w:shd w:fill="EBF2FA" w:val="clear"/>
          </w:tcPr>
          <w:p>
            <w:r>
              <w:rPr>
                <w:sz w:val="19"/>
              </w:rPr>
              <w:t>41 KB native X-ray diffraction simulation engine. Implemented Cromer-Mann 9-parameter scattering factors [22], BCC/FCC/HCP structure factors, Bragg diffraction, Lorentz-polarization correction, and Scherrer broadening [23] with full interactive HTML canvas waterfall viewer.</w:t>
            </w:r>
          </w:p>
        </w:tc>
      </w:tr>
      <w:tr>
        <w:tc>
          <w:tcPr>
            <w:tcW w:type="dxa" w:w="1872"/>
          </w:tcPr>
          <w:p>
            <w:r>
              <w:rPr>
                <w:sz w:val="19"/>
              </w:rPr>
              <w:t>v5.0 — Solver Controls &amp; Live Telemetry</w:t>
            </w:r>
          </w:p>
        </w:tc>
        <w:tc>
          <w:tcPr>
            <w:tcW w:type="dxa" w:w="1440"/>
          </w:tcPr>
          <w:p>
            <w:r>
              <w:rPr>
                <w:sz w:val="19"/>
              </w:rPr>
              <w:t>03 Oct 2026</w:t>
            </w:r>
          </w:p>
        </w:tc>
        <w:tc>
          <w:tcPr>
            <w:tcW w:type="dxa" w:w="2592"/>
          </w:tcPr>
          <w:p>
            <w:r>
              <w:rPr>
                <w:sz w:val="19"/>
              </w:rPr>
              <w:t>MaterialPropertiesApp.m</w:t>
              <w:br/>
              <w:t>HEAThermoEngine.m</w:t>
              <w:br/>
              <w:t>index.html (v3)</w:t>
            </w:r>
          </w:p>
        </w:tc>
        <w:tc>
          <w:tcPr>
            <w:tcW w:type="dxa" w:w="4464"/>
          </w:tcPr>
          <w:p>
            <w:r>
              <w:rPr>
                <w:sz w:val="19"/>
              </w:rPr>
              <w:t>Configurable Solver &amp; Discretization panel (ΔT = 0.1–100 K, 10–5000 iterations, 4 presets). 6-stage animated progress bar with live telemetry console. Real-time MATLAB→JS event streaming pipeline. Systematic resolution of cell-array dot-indexing bug and canvas resizing.</w:t>
            </w:r>
          </w:p>
        </w:tc>
      </w:tr>
    </w:tbl>
    <w:p>
      <w:r>
        <w:br w:type="page"/>
      </w:r>
    </w:p>
    <w:p>
      <w:pPr>
        <w:pStyle w:val="Heading1"/>
        <w:jc w:val="left"/>
      </w:pPr>
      <w:r>
        <w:rPr>
          <w:color w:val="1F4E79"/>
        </w:rPr>
        <w:t>4. Architectural Evolution &amp; Version Flowcharts</w:t>
      </w:r>
    </w:p>
    <w:p>
      <w:pPr>
        <w:pBdr>
          <w:bottom w:val="single" w:sz="6" w:space="1" w:color="1F4E79"/>
        </w:pBdr>
      </w:pPr>
    </w:p>
    <w:p>
      <w:pPr>
        <w:pStyle w:val="Heading2"/>
        <w:jc w:val="left"/>
      </w:pPr>
      <w:r>
        <w:t>4.1 Version 0.x — Script-Based Proof of Concept</w:t>
      </w:r>
    </w:p>
    <w:p>
      <w:pPr>
        <w:spacing w:after="120"/>
      </w:pPr>
      <w:r>
        <w:rPr>
          <w:b w:val="0"/>
          <w:i/>
          <w:sz w:val="20"/>
        </w:rPr>
        <w:t>In the initial prototype, execution was strictly batch-scripted without graphical interaction. The objective was verifying that polynomial thermodynamic formulations functioned accurately for metallic elements relevant to HEA matrices (Al, Ni) across extreme temperatures (293–3500 K).</w:t>
      </w:r>
    </w:p>
    <w:p/>
    <w:p>
      <w:pPr>
        <w:spacing w:after="120"/>
      </w:pPr>
      <w:r>
        <w:rPr>
          <w:b/>
          <w:i w:val="0"/>
          <w:color w:val="1F4E79"/>
          <w:sz w:val="21"/>
        </w:rPr>
        <w:t>Figure 1: Version 0.x Batch Execution Pipeline</w:t>
      </w:r>
    </w:p>
    <w:p>
      <w:pPr>
        <w:spacing w:before="60" w:after="60"/>
        <w:ind w:left="504"/>
        <w:shd w:fill="F2F7FA" w:val="clear"/>
      </w:pPr>
      <w:r>
        <w:rPr>
          <w:rFonts w:ascii="Consolas" w:hAnsi="Consolas"/>
          <w:color w:val="1A5376"/>
          <w:sz w:val="17"/>
        </w:rPr>
        <w:t xml:space="preserve">  [User triggers MATLAB terminal script]</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[Material.m — Polynomial Thermodynamic Engine]</w:t>
      </w:r>
    </w:p>
    <w:p>
      <w:pPr>
        <w:spacing w:before="60" w:after="60"/>
        <w:ind w:left="504"/>
        <w:shd w:fill="F2F7FA" w:val="clear"/>
      </w:pPr>
      <w:r>
        <w:rPr>
          <w:rFonts w:ascii="Consolas" w:hAnsi="Consolas"/>
          <w:color w:val="1A5376"/>
          <w:sz w:val="17"/>
        </w:rPr>
        <w:t xml:space="preserve">         │  Calculates Cp(T), H(T), S(T) via NASA/SGTE polynomial arrays</w:t>
      </w:r>
    </w:p>
    <w:p>
      <w:pPr>
        <w:spacing w:before="60" w:after="60"/>
        <w:ind w:left="504"/>
        <w:shd w:fill="F2F7FA" w:val="clear"/>
      </w:pPr>
      <w:r>
        <w:rPr>
          <w:rFonts w:ascii="Consolas" w:hAnsi="Consolas"/>
          <w:color w:val="1A5376"/>
          <w:sz w:val="17"/>
        </w:rPr>
        <w:t xml:space="preserve">         │  Validated against Al (FCC light metal) and Ni (FCC matrix constituent)</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[calculate_thermo_properties.m]</w:t>
      </w:r>
    </w:p>
    <w:p>
      <w:pPr>
        <w:spacing w:before="60" w:after="60"/>
        <w:ind w:left="504"/>
        <w:shd w:fill="F2F7FA" w:val="clear"/>
      </w:pPr>
      <w:r>
        <w:rPr>
          <w:rFonts w:ascii="Consolas" w:hAnsi="Consolas"/>
          <w:color w:val="1A5376"/>
          <w:sz w:val="17"/>
        </w:rPr>
        <w:t xml:space="preserve">         │  Evaluates thermodynamic state functions over T = 293–3500 K</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[MATLAB Figure: subplot(Cp, H, S) → Saved as static PNG]</w:t>
      </w:r>
    </w:p>
    <w:p>
      <w:pPr>
        <w:spacing w:before="60" w:after="60"/>
        <w:ind w:left="504"/>
        <w:shd w:fill="F2F7FA" w:val="clear"/>
      </w:pPr>
      <w:r>
        <w:rPr>
          <w:rFonts w:ascii="Consolas" w:hAnsi="Consolas"/>
          <w:color w:val="1A5376"/>
          <w:sz w:val="17"/>
        </w:rPr>
      </w:r>
    </w:p>
    <w:p>
      <w:pPr>
        <w:spacing w:before="60" w:after="60"/>
        <w:ind w:left="504"/>
        <w:shd w:fill="F2F7FA" w:val="clear"/>
      </w:pPr>
      <w:r>
        <w:rPr>
          <w:rFonts w:ascii="Consolas" w:hAnsi="Consolas"/>
          <w:color w:val="1A5376"/>
          <w:sz w:val="17"/>
        </w:rPr>
        <w:t xml:space="preserve">  ─ ─ ─ ─ ─ ─ ─ ─ ─ ─ ─ ─ ─ ─ ─ ─ ─ ─ ─ ─ ─ ─ ─ ─ ─ ─ ─ ─ ─ ─</w:t>
      </w:r>
    </w:p>
    <w:p>
      <w:pPr>
        <w:spacing w:before="60" w:after="60"/>
        <w:ind w:left="504"/>
        <w:shd w:fill="F2F7FA" w:val="clear"/>
      </w:pPr>
      <w:r>
        <w:rPr>
          <w:rFonts w:ascii="Consolas" w:hAnsi="Consolas"/>
          <w:color w:val="1A5376"/>
          <w:sz w:val="17"/>
        </w:rPr>
        <w:t xml:space="preserve">  [simple_piecewise_app.m]               [process_material_dat_files.m]</w:t>
      </w:r>
    </w:p>
    <w:p>
      <w:pPr>
        <w:spacing w:before="60" w:after="60"/>
        <w:ind w:left="504"/>
        <w:shd w:fill="F2F7FA" w:val="clear"/>
      </w:pPr>
      <w:r>
        <w:rPr>
          <w:rFonts w:ascii="Consolas" w:hAnsi="Consolas"/>
          <w:color w:val="1A5376"/>
          <w:sz w:val="17"/>
        </w:rPr>
        <w:t xml:space="preserve">  Reads {Start, End, Equation} table      Parses raw JMatPro .dat columns</w:t>
      </w:r>
    </w:p>
    <w:p>
      <w:pPr>
        <w:spacing w:before="60" w:after="60"/>
        <w:ind w:left="504"/>
        <w:shd w:fill="F2F7FA" w:val="clear"/>
      </w:pPr>
      <w:r>
        <w:rPr>
          <w:rFonts w:ascii="Consolas" w:hAnsi="Consolas"/>
          <w:color w:val="1A5376"/>
          <w:sz w:val="17"/>
        </w:rPr>
        <w:t xml:space="preserve">  eval() piecewise segments               Extracts density, thermal cond., Cp</w:t>
      </w:r>
    </w:p>
    <w:p>
      <w:pPr>
        <w:spacing w:before="60" w:after="60"/>
        <w:ind w:left="504"/>
        <w:shd w:fill="F2F7FA" w:val="clear"/>
      </w:pPr>
      <w:r>
        <w:rPr>
          <w:rFonts w:ascii="Consolas" w:hAnsi="Consolas"/>
          <w:color w:val="1A5376"/>
          <w:sz w:val="17"/>
        </w:rPr>
        <w:t xml:space="preserve">  Generates discontinuous plots           Generates multi-curve comparison plot</w:t>
      </w:r>
    </w:p>
    <w:p/>
    <w:p>
      <w:pPr>
        <w:pStyle w:val="Heading2"/>
        <w:jc w:val="left"/>
      </w:pPr>
      <w:r>
        <w:t>4.2 Version 1.0 — Desktop GUI Shell &amp; Live Literature Search</w:t>
      </w:r>
    </w:p>
    <w:p>
      <w:pPr>
        <w:spacing w:after="120"/>
      </w:pPr>
      <w:r>
        <w:rPr>
          <w:b w:val="0"/>
          <w:i/>
          <w:sz w:val="20"/>
        </w:rPr>
        <w:t>Introduced the first MATLAB App Designer interactive window, integrating composition input fields and establishing direct REST API communication with scholarly repositories.</w:t>
      </w:r>
    </w:p>
    <w:p/>
    <w:p>
      <w:pPr>
        <w:spacing w:after="120"/>
      </w:pPr>
      <w:r>
        <w:rPr>
          <w:b/>
          <w:i w:val="0"/>
          <w:color w:val="1F4E79"/>
          <w:sz w:val="21"/>
        </w:rPr>
        <w:t>Figure 2: Version 1.0 App Designer Architecture</w:t>
      </w:r>
    </w:p>
    <w:p>
      <w:pPr>
        <w:spacing w:before="60" w:after="60"/>
        <w:ind w:left="504"/>
        <w:shd w:fill="F2F7FA" w:val="clear"/>
      </w:pPr>
      <w:r>
        <w:rPr>
          <w:rFonts w:ascii="Consolas" w:hAnsi="Consolas"/>
          <w:color w:val="1A5376"/>
          <w:sz w:val="17"/>
        </w:rPr>
        <w:t xml:space="preserve">  [User launches launch_app.m]</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MATLAB App Designer Window               │</w:t>
      </w:r>
    </w:p>
    <w:p>
      <w:pPr>
        <w:spacing w:before="60" w:after="60"/>
        <w:ind w:left="504"/>
        <w:shd w:fill="F2F7FA" w:val="clear"/>
      </w:pPr>
      <w:r>
        <w:rPr>
          <w:rFonts w:ascii="Consolas" w:hAnsi="Consolas"/>
          <w:color w:val="1A5376"/>
          <w:sz w:val="17"/>
        </w:rPr>
        <w:t xml:space="preserve">  │  • Composition input boxes (Al, Co, Cr, Fe, Ni)          │</w:t>
      </w:r>
    </w:p>
    <w:p>
      <w:pPr>
        <w:spacing w:before="60" w:after="60"/>
        <w:ind w:left="504"/>
        <w:shd w:fill="F2F7FA" w:val="clear"/>
      </w:pPr>
      <w:r>
        <w:rPr>
          <w:rFonts w:ascii="Consolas" w:hAnsi="Consolas"/>
          <w:color w:val="1A5376"/>
          <w:sz w:val="17"/>
        </w:rPr>
        <w:t xml:space="preserve">  │  • Mixing rule calculation trigger                       │</w:t>
      </w:r>
    </w:p>
    <w:p>
      <w:pPr>
        <w:spacing w:before="60" w:after="60"/>
        <w:ind w:left="504"/>
        <w:shd w:fill="F2F7FA" w:val="clear"/>
      </w:pPr>
      <w:r>
        <w:rPr>
          <w:rFonts w:ascii="Consolas" w:hAnsi="Consolas"/>
          <w:color w:val="1A5376"/>
          <w:sz w:val="17"/>
        </w:rPr>
        <w:t xml:space="preserve">  │  • Scholarly literature keyword search bar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w:t>
      </w:r>
    </w:p>
    <w:p>
      <w:pPr>
        <w:spacing w:before="60" w:after="60"/>
        <w:ind w:left="504"/>
        <w:shd w:fill="F2F7FA" w:val="clear"/>
      </w:pPr>
      <w:r>
        <w:rPr>
          <w:rFonts w:ascii="Consolas" w:hAnsi="Consolas"/>
          <w:color w:val="1A5376"/>
          <w:sz w:val="17"/>
        </w:rPr>
        <w:t xml:space="preserve">  [test_composition_engine.m]          [Live Academic HTTP Service]</w:t>
      </w:r>
    </w:p>
    <w:p>
      <w:pPr>
        <w:spacing w:before="60" w:after="60"/>
        <w:ind w:left="504"/>
        <w:shd w:fill="F2F7FA" w:val="clear"/>
      </w:pPr>
      <w:r>
        <w:rPr>
          <w:rFonts w:ascii="Consolas" w:hAnsi="Consolas"/>
          <w:color w:val="1A5376"/>
          <w:sz w:val="17"/>
        </w:rPr>
        <w:t xml:space="preserve">  Computes ΔHmix, ΔSmix, VEC, δ        Queries CrossRef / OpenAlex APIs</w:t>
      </w:r>
    </w:p>
    <w:p>
      <w:pPr>
        <w:spacing w:before="60" w:after="60"/>
        <w:ind w:left="504"/>
        <w:shd w:fill="F2F7FA" w:val="clear"/>
      </w:pPr>
      <w:r>
        <w:rPr>
          <w:rFonts w:ascii="Consolas" w:hAnsi="Consolas"/>
          <w:color w:val="1A5376"/>
          <w:sz w:val="17"/>
        </w:rPr>
        <w:t xml:space="preserve">  Verifies Cantor alloy benchmark      Returns DOI, Title, Journal, Authors</w:t>
      </w:r>
    </w:p>
    <w:p>
      <w:pPr>
        <w:spacing w:before="60" w:after="60"/>
        <w:ind w:left="504"/>
        <w:shd w:fill="F2F7FA" w:val="clear"/>
      </w:pPr>
      <w:r>
        <w:rPr>
          <w:rFonts w:ascii="Consolas" w:hAnsi="Consolas"/>
          <w:color w:val="1A5376"/>
          <w:sz w:val="17"/>
        </w:rPr>
        <w:t xml:space="preserve">  Displays parameters in text box      Populates citation preview table</w:t>
      </w:r>
    </w:p>
    <w:p/>
    <w:p>
      <w:pPr>
        <w:pStyle w:val="Heading2"/>
        <w:jc w:val="left"/>
      </w:pPr>
      <w:r>
        <w:t>4.3 Version 2.0 — Analytical Curve Fitting &amp; Miedema Mixing Rules</w:t>
      </w:r>
    </w:p>
    <w:p>
      <w:pPr>
        <w:spacing w:after="120"/>
      </w:pPr>
      <w:r>
        <w:rPr>
          <w:b w:val="0"/>
          <w:i/>
          <w:sz w:val="20"/>
        </w:rPr>
        <w:t>Added high-order piecewise polynomial fitting (fit_piecewise_functions.m) to resolve sharp discontinuities in JMatPro .dat outputs and incorporated the 4-layer SecureDataVault.m module.</w:t>
      </w:r>
    </w:p>
    <w:p/>
    <w:p>
      <w:pPr>
        <w:spacing w:after="120"/>
      </w:pPr>
      <w:r>
        <w:rPr>
          <w:b/>
          <w:i w:val="0"/>
          <w:color w:val="1F4E79"/>
          <w:sz w:val="21"/>
        </w:rPr>
        <w:t>Figure 3: Version 2.0 Analytical Regression &amp; Cryptographic Vault</w:t>
      </w:r>
    </w:p>
    <w:p>
      <w:pPr>
        <w:spacing w:before="60" w:after="60"/>
        <w:ind w:left="504"/>
        <w:shd w:fill="F2F7FA" w:val="clear"/>
      </w:pPr>
      <w:r>
        <w:rPr>
          <w:rFonts w:ascii="Consolas" w:hAnsi="Consolas"/>
          <w:color w:val="1A5376"/>
          <w:sz w:val="17"/>
        </w:rPr>
        <w:t xml:space="preserve">  [User imports JMatPro .dat property table]</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[fit_piecewise_functions.m (15 KB)]</w:t>
      </w:r>
    </w:p>
    <w:p>
      <w:pPr>
        <w:spacing w:before="60" w:after="60"/>
        <w:ind w:left="504"/>
        <w:shd w:fill="F2F7FA" w:val="clear"/>
      </w:pPr>
      <w:r>
        <w:rPr>
          <w:rFonts w:ascii="Consolas" w:hAnsi="Consolas"/>
          <w:color w:val="1A5376"/>
          <w:sz w:val="17"/>
        </w:rPr>
        <w:t xml:space="preserve">  • Automatic phase boundary detection (solidus Ts, liquidus Tl)</w:t>
      </w:r>
    </w:p>
    <w:p>
      <w:pPr>
        <w:spacing w:before="60" w:after="60"/>
        <w:ind w:left="504"/>
        <w:shd w:fill="F2F7FA" w:val="clear"/>
      </w:pPr>
      <w:r>
        <w:rPr>
          <w:rFonts w:ascii="Consolas" w:hAnsi="Consolas"/>
          <w:color w:val="1A5376"/>
          <w:sz w:val="17"/>
        </w:rPr>
        <w:t xml:space="preserve">  • Least-squares polynomial regression with C1 continuity matching</w:t>
      </w:r>
    </w:p>
    <w:p>
      <w:pPr>
        <w:spacing w:before="60" w:after="60"/>
        <w:ind w:left="504"/>
        <w:shd w:fill="F2F7FA" w:val="clear"/>
      </w:pPr>
      <w:r>
        <w:rPr>
          <w:rFonts w:ascii="Consolas" w:hAnsi="Consolas"/>
          <w:color w:val="1A5376"/>
          <w:sz w:val="17"/>
        </w:rPr>
        <w:t xml:space="preserve">  • Outputs analytical functions: f_solid(T), f_mushy(T), f_liquid(T)</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[HEACalculator.m — Physical Mixing Engine]</w:t>
      </w:r>
    </w:p>
    <w:p>
      <w:pPr>
        <w:spacing w:before="60" w:after="60"/>
        <w:ind w:left="504"/>
        <w:shd w:fill="F2F7FA" w:val="clear"/>
      </w:pPr>
      <w:r>
        <w:rPr>
          <w:rFonts w:ascii="Consolas" w:hAnsi="Consolas"/>
          <w:color w:val="1A5376"/>
          <w:sz w:val="17"/>
        </w:rPr>
        <w:t xml:space="preserve">  • ΔHmix (Miedema pairwise sub-regular enthalpy [21])</w:t>
      </w:r>
    </w:p>
    <w:p>
      <w:pPr>
        <w:spacing w:before="60" w:after="60"/>
        <w:ind w:left="504"/>
        <w:shd w:fill="F2F7FA" w:val="clear"/>
      </w:pPr>
      <w:r>
        <w:rPr>
          <w:rFonts w:ascii="Consolas" w:hAnsi="Consolas"/>
          <w:color w:val="1A5376"/>
          <w:sz w:val="17"/>
        </w:rPr>
        <w:t xml:space="preserve">  • ΔSmix = -R Σ(xi ln xi) [Ideal configurational entropy]</w:t>
      </w:r>
    </w:p>
    <w:p>
      <w:pPr>
        <w:spacing w:before="60" w:after="60"/>
        <w:ind w:left="504"/>
        <w:shd w:fill="F2F7FA" w:val="clear"/>
      </w:pPr>
      <w:r>
        <w:rPr>
          <w:rFonts w:ascii="Consolas" w:hAnsi="Consolas"/>
          <w:color w:val="1A5376"/>
          <w:sz w:val="17"/>
        </w:rPr>
        <w:t xml:space="preserve">  • Ω = Tm,avg·ΔSmix / |ΔHmix| [Yang-Zhang stability parameter [18]]</w:t>
      </w:r>
    </w:p>
    <w:p>
      <w:pPr>
        <w:spacing w:before="60" w:after="60"/>
        <w:ind w:left="504"/>
        <w:shd w:fill="F2F7FA" w:val="clear"/>
      </w:pPr>
      <w:r>
        <w:rPr>
          <w:rFonts w:ascii="Consolas" w:hAnsi="Consolas"/>
          <w:color w:val="1A5376"/>
          <w:sz w:val="17"/>
        </w:rPr>
        <w:t xml:space="preserve">  • VEC = Σ(xi·VEC_i) [Guo phase stability rule: FCC vs BCC [19]]</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[SecureDataVault.m — 4-Layer Defense-in-Depth Cryptography]</w:t>
      </w:r>
    </w:p>
    <w:p>
      <w:pPr>
        <w:spacing w:before="60" w:after="60"/>
        <w:ind w:left="504"/>
        <w:shd w:fill="F2F7FA" w:val="clear"/>
      </w:pPr>
      <w:r>
        <w:rPr>
          <w:rFonts w:ascii="Consolas" w:hAnsi="Consolas"/>
          <w:color w:val="1A5376"/>
          <w:sz w:val="17"/>
        </w:rPr>
        <w:t xml:space="preserve">  • Layer 1 (Application): Input validation &amp; RAM sanitization</w:t>
      </w:r>
    </w:p>
    <w:p>
      <w:pPr>
        <w:spacing w:before="60" w:after="60"/>
        <w:ind w:left="504"/>
        <w:shd w:fill="F2F7FA" w:val="clear"/>
      </w:pPr>
      <w:r>
        <w:rPr>
          <w:rFonts w:ascii="Consolas" w:hAnsi="Consolas"/>
          <w:color w:val="1A5376"/>
          <w:sz w:val="17"/>
        </w:rPr>
        <w:t xml:space="preserve">  • Layer 2 (Network): Strict outbound egress filtering (zero leak)</w:t>
      </w:r>
    </w:p>
    <w:p>
      <w:pPr>
        <w:spacing w:before="60" w:after="60"/>
        <w:ind w:left="504"/>
        <w:shd w:fill="F2F7FA" w:val="clear"/>
      </w:pPr>
      <w:r>
        <w:rPr>
          <w:rFonts w:ascii="Consolas" w:hAnsi="Consolas"/>
          <w:color w:val="1A5376"/>
          <w:sz w:val="17"/>
        </w:rPr>
        <w:t xml:space="preserve">  • Layer 3 (Storage): AES-256-GCM authenticated cipher &amp; SHA-256 integrity</w:t>
      </w:r>
    </w:p>
    <w:p>
      <w:pPr>
        <w:spacing w:before="60" w:after="60"/>
        <w:ind w:left="504"/>
        <w:shd w:fill="F2F7FA" w:val="clear"/>
      </w:pPr>
      <w:r>
        <w:rPr>
          <w:rFonts w:ascii="Consolas" w:hAnsi="Consolas"/>
          <w:color w:val="1A5376"/>
          <w:sz w:val="17"/>
        </w:rPr>
        <w:t xml:space="preserve">  • Layer 4 (Process): Multi-pass memory wiping of proprietary compositions</w:t>
      </w:r>
    </w:p>
    <w:p/>
    <w:p>
      <w:pPr>
        <w:pStyle w:val="Heading2"/>
        <w:jc w:val="left"/>
      </w:pPr>
      <w:r>
        <w:t>4.4 Version 3.x — Full-Stack MATLAB uihtml &amp; 45-Element SGTE Engine</w:t>
      </w:r>
    </w:p>
    <w:p>
      <w:pPr>
        <w:spacing w:after="120"/>
      </w:pPr>
      <w:r>
        <w:rPr>
          <w:b w:val="0"/>
          <w:i/>
          <w:sz w:val="20"/>
        </w:rPr>
        <w:t>Major architectural paradigm shift: eliminated App Designer native widgets in favor of an embedded HTML/JS/CSS single-page application inside MATLAB uihtml. JMatPro dependency completely eliminated for thermodynamic calculations.</w:t>
      </w:r>
    </w:p>
    <w:p/>
    <w:p>
      <w:pPr>
        <w:spacing w:after="120"/>
      </w:pPr>
      <w:r>
        <w:rPr>
          <w:b/>
          <w:i w:val="0"/>
          <w:color w:val="1F4E79"/>
          <w:sz w:val="21"/>
        </w:rPr>
        <w:t>Figure 4: Version 3.x Full-Stack Hybrid uihtml Architecture</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MATLAB Desktop Environment                  │</w:t>
      </w:r>
    </w:p>
    <w:p>
      <w:pPr>
        <w:spacing w:before="60" w:after="60"/>
        <w:ind w:left="504"/>
        <w:shd w:fill="F2F7FA" w:val="clear"/>
      </w:pPr>
      <w:r>
        <w:rPr>
          <w:rFonts w:ascii="Consolas" w:hAnsi="Consolas"/>
          <w:color w:val="1A5376"/>
          <w:sz w:val="17"/>
        </w:rPr>
        <w:t xml:space="preserve">  │  MaterialPropertiesApp.m (Host Controller, 2018 lines)          │</w:t>
      </w:r>
    </w:p>
    <w:p>
      <w:pPr>
        <w:spacing w:before="60" w:after="60"/>
        <w:ind w:left="504"/>
        <w:shd w:fill="F2F7FA" w:val="clear"/>
      </w:pPr>
      <w:r>
        <w:rPr>
          <w:rFonts w:ascii="Consolas" w:hAnsi="Consolas"/>
          <w:color w:val="1A5376"/>
          <w:sz w:val="17"/>
        </w:rPr>
        <w:t xml:space="preserve">  │  • App Data: MatrixData (Nx2 cell), CompositionBasis ('at'/'wt')│</w:t>
      </w:r>
    </w:p>
    <w:p>
      <w:pPr>
        <w:spacing w:before="60" w:after="60"/>
        <w:ind w:left="504"/>
        <w:shd w:fill="F2F7FA" w:val="clear"/>
      </w:pPr>
      <w:r>
        <w:rPr>
          <w:rFonts w:ascii="Consolas" w:hAnsi="Consolas"/>
          <w:color w:val="1A5376"/>
          <w:sz w:val="17"/>
        </w:rPr>
        <w:t xml:space="preserve">  │  • Bi-directional Event Bridge: htmlSend() &lt;---&gt; setup(htmlComp)│</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uihtml bidirectional JSON event bus</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Embedded Web Application UI                    │</w:t>
      </w:r>
    </w:p>
    <w:p>
      <w:pPr>
        <w:spacing w:before="60" w:after="60"/>
        <w:ind w:left="504"/>
        <w:shd w:fill="F2F7FA" w:val="clear"/>
      </w:pPr>
      <w:r>
        <w:rPr>
          <w:rFonts w:ascii="Consolas" w:hAnsi="Consolas"/>
          <w:color w:val="1A5376"/>
          <w:sz w:val="17"/>
        </w:rPr>
        <w:t xml:space="preserve">  │  App/ui/index.html (Single-Page App, 7,888 lines, 316 KB)       │</w:t>
      </w:r>
    </w:p>
    <w:p>
      <w:pPr>
        <w:spacing w:before="60" w:after="60"/>
        <w:ind w:left="504"/>
        <w:shd w:fill="F2F7FA" w:val="clear"/>
      </w:pPr>
      <w:r>
        <w:rPr>
          <w:rFonts w:ascii="Consolas" w:hAnsi="Consolas"/>
          <w:color w:val="1A5376"/>
          <w:sz w:val="17"/>
        </w:rPr>
        <w:t xml:space="preserve">  │  • Section 00: Interactive 45-element Periodic Table Picker     │</w:t>
      </w:r>
    </w:p>
    <w:p>
      <w:pPr>
        <w:spacing w:before="60" w:after="60"/>
        <w:ind w:left="504"/>
        <w:shd w:fill="F2F7FA" w:val="clear"/>
      </w:pPr>
      <w:r>
        <w:rPr>
          <w:rFonts w:ascii="Consolas" w:hAnsi="Consolas"/>
          <w:color w:val="1A5376"/>
          <w:sz w:val="17"/>
        </w:rPr>
        <w:t xml:space="preserve">  │  • Section 01: Composition Matrix &amp; Normalization Engine        │</w:t>
      </w:r>
    </w:p>
    <w:p>
      <w:pPr>
        <w:spacing w:before="60" w:after="60"/>
        <w:ind w:left="504"/>
        <w:shd w:fill="F2F7FA" w:val="clear"/>
      </w:pPr>
      <w:r>
        <w:rPr>
          <w:rFonts w:ascii="Consolas" w:hAnsi="Consolas"/>
          <w:color w:val="1A5376"/>
          <w:sz w:val="17"/>
        </w:rPr>
        <w:t xml:space="preserve">  │  • Section 02: 5 Interactive Canvas Plots (Cp, k, ρ, E, ρe)     │</w:t>
      </w:r>
    </w:p>
    <w:p>
      <w:pPr>
        <w:spacing w:before="60" w:after="60"/>
        <w:ind w:left="504"/>
        <w:shd w:fill="F2F7FA" w:val="clear"/>
      </w:pPr>
      <w:r>
        <w:rPr>
          <w:rFonts w:ascii="Consolas" w:hAnsi="Consolas"/>
          <w:color w:val="1A5376"/>
          <w:sz w:val="17"/>
        </w:rPr>
        <w:t xml:space="preserve">  │  • Section 03: Publication-Grade Kinematic XRD Diffractogram    │</w:t>
      </w:r>
    </w:p>
    <w:p>
      <w:pPr>
        <w:spacing w:before="60" w:after="60"/>
        <w:ind w:left="504"/>
        <w:shd w:fill="F2F7FA" w:val="clear"/>
      </w:pPr>
      <w:r>
        <w:rPr>
          <w:rFonts w:ascii="Consolas" w:hAnsi="Consolas"/>
          <w:color w:val="1A5376"/>
          <w:sz w:val="17"/>
        </w:rPr>
        <w:t xml:space="preserve">  │  • Section 04: Scholarly Reference &amp; DOI Discovery Panel        │</w:t>
      </w:r>
    </w:p>
    <w:p>
      <w:pPr>
        <w:spacing w:before="60" w:after="60"/>
        <w:ind w:left="504"/>
        <w:shd w:fill="F2F7FA" w:val="clear"/>
      </w:pPr>
      <w:r>
        <w:rPr>
          <w:rFonts w:ascii="Consolas" w:hAnsi="Consolas"/>
          <w:color w:val="1A5376"/>
          <w:sz w:val="17"/>
        </w:rPr>
        <w:t xml:space="preserve">  │  • Section 05: Data Protection Vault Control &amp; Status Center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r>
    </w:p>
    <w:p>
      <w:pPr>
        <w:spacing w:before="60" w:after="60"/>
        <w:ind w:left="504"/>
        <w:shd w:fill="F2F7FA" w:val="clear"/>
      </w:pPr>
      <w:r>
        <w:rPr>
          <w:rFonts w:ascii="Consolas" w:hAnsi="Consolas"/>
          <w:color w:val="1A5376"/>
          <w:sz w:val="17"/>
        </w:rPr>
        <w:t xml:space="preserve">  MATLAB Trigger: event 'calculateHEAThermo'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HEAThermoEngine.m (Static Engine)               │</w:t>
      </w:r>
    </w:p>
    <w:p>
      <w:pPr>
        <w:spacing w:before="60" w:after="60"/>
        <w:ind w:left="504"/>
        <w:shd w:fill="F2F7FA" w:val="clear"/>
      </w:pPr>
      <w:r>
        <w:rPr>
          <w:rFonts w:ascii="Consolas" w:hAnsi="Consolas"/>
          <w:color w:val="1A5376"/>
          <w:sz w:val="17"/>
        </w:rPr>
        <w:t xml:space="preserve">  │  • getElementDatabase(): 45 elements with 15 SGTE properties    │</w:t>
      </w:r>
    </w:p>
    <w:p>
      <w:pPr>
        <w:spacing w:before="60" w:after="60"/>
        <w:ind w:left="504"/>
        <w:shd w:fill="F2F7FA" w:val="clear"/>
      </w:pPr>
      <w:r>
        <w:rPr>
          <w:rFonts w:ascii="Consolas" w:hAnsi="Consolas"/>
          <w:color w:val="1A5376"/>
          <w:sz w:val="17"/>
        </w:rPr>
        <w:t xml:space="preserve">  │  • convertComposition(): Real-time atomic &lt;-&gt; weight conversion │</w:t>
      </w:r>
    </w:p>
    <w:p>
      <w:pPr>
        <w:spacing w:before="60" w:after="60"/>
        <w:ind w:left="504"/>
        <w:shd w:fill="F2F7FA" w:val="clear"/>
      </w:pPr>
      <w:r>
        <w:rPr>
          <w:rFonts w:ascii="Consolas" w:hAnsi="Consolas"/>
          <w:color w:val="1A5376"/>
          <w:sz w:val="17"/>
        </w:rPr>
        <w:t xml:space="preserve">  │  • computeThermodynamics(): Gibbs equilibrium, Ts, Tl, Ω, VEC   │</w:t>
      </w:r>
    </w:p>
    <w:p>
      <w:pPr>
        <w:spacing w:before="60" w:after="60"/>
        <w:ind w:left="504"/>
        <w:shd w:fill="F2F7FA" w:val="clear"/>
      </w:pPr>
      <w:r>
        <w:rPr>
          <w:rFonts w:ascii="Consolas" w:hAnsi="Consolas"/>
          <w:color w:val="1A5376"/>
          <w:sz w:val="17"/>
        </w:rPr>
        <w:t xml:space="preserve">  │  • generateTemperatureTable(): Multi-node property generation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r>
    </w:p>
    <w:p>
      <w:pPr>
        <w:spacing w:before="60" w:after="60"/>
        <w:ind w:left="504"/>
        <w:shd w:fill="F2F7FA" w:val="clear"/>
      </w:pPr>
      <w:r>
        <w:rPr>
          <w:rFonts w:ascii="Consolas" w:hAnsi="Consolas"/>
          <w:color w:val="1A5376"/>
          <w:sz w:val="17"/>
        </w:rPr>
        <w:t xml:space="preserve">  LiteratureBenchmark.m (53 KB) ◀── Validates against 50+ experimental DOIs</w:t>
      </w:r>
    </w:p>
    <w:p/>
    <w:p>
      <w:pPr>
        <w:pStyle w:val="Heading2"/>
        <w:jc w:val="left"/>
      </w:pPr>
      <w:r>
        <w:t>4.5 Version 4.0 — Kinematic X-Ray Diffraction (XRD) Simulation Engine</w:t>
      </w:r>
    </w:p>
    <w:p>
      <w:pPr>
        <w:spacing w:after="120"/>
      </w:pPr>
      <w:r>
        <w:rPr>
          <w:b w:val="0"/>
          <w:i/>
          <w:sz w:val="20"/>
        </w:rPr>
        <w:t>Integrated HEAXRDEngine.m (41 KB) to calculate kinematic Bragg diffraction patterns for predicted HEA phases, eliminating external crystallography tools.</w:t>
      </w:r>
    </w:p>
    <w:p/>
    <w:p>
      <w:pPr>
        <w:spacing w:after="120"/>
      </w:pPr>
      <w:r>
        <w:rPr>
          <w:b/>
          <w:i w:val="0"/>
          <w:color w:val="1F4E79"/>
          <w:sz w:val="21"/>
        </w:rPr>
        <w:t>Figure 5: Version 4.0 Kinematic XRD Simulation Pipeline</w:t>
      </w:r>
    </w:p>
    <w:p>
      <w:pPr>
        <w:spacing w:before="60" w:after="60"/>
        <w:ind w:left="504"/>
        <w:shd w:fill="F2F7FA" w:val="clear"/>
      </w:pPr>
      <w:r>
        <w:rPr>
          <w:rFonts w:ascii="Consolas" w:hAnsi="Consolas"/>
          <w:color w:val="1A5376"/>
          <w:sz w:val="17"/>
        </w:rPr>
        <w:t xml:space="preserve">  [User triggers XRD Simulation from Web UI]</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[HEAXRDEngine.calculateXRD(MatrixData, basis)]</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1. Predict Solid Solution Phase:                            │</w:t>
      </w:r>
    </w:p>
    <w:p>
      <w:pPr>
        <w:spacing w:before="60" w:after="60"/>
        <w:ind w:left="504"/>
        <w:shd w:fill="F2F7FA" w:val="clear"/>
      </w:pPr>
      <w:r>
        <w:rPr>
          <w:rFonts w:ascii="Consolas" w:hAnsi="Consolas"/>
          <w:color w:val="1A5376"/>
          <w:sz w:val="17"/>
        </w:rPr>
        <w:t xml:space="preserve">    │     VEC ≥ 8.0 → FCC (A1) | VEC &lt; 6.87 → BCC (A2/B2)         │</w:t>
      </w:r>
    </w:p>
    <w:p>
      <w:pPr>
        <w:spacing w:before="60" w:after="60"/>
        <w:ind w:left="504"/>
        <w:shd w:fill="F2F7FA" w:val="clear"/>
      </w:pPr>
      <w:r>
        <w:rPr>
          <w:rFonts w:ascii="Consolas" w:hAnsi="Consolas"/>
          <w:color w:val="1A5376"/>
          <w:sz w:val="17"/>
        </w:rPr>
        <w:t xml:space="preserve">    │  2. Compute Lattice Constant a via Vegard's Rule:           │</w:t>
      </w:r>
    </w:p>
    <w:p>
      <w:pPr>
        <w:spacing w:before="60" w:after="60"/>
        <w:ind w:left="504"/>
        <w:shd w:fill="F2F7FA" w:val="clear"/>
      </w:pPr>
      <w:r>
        <w:rPr>
          <w:rFonts w:ascii="Consolas" w:hAnsi="Consolas"/>
          <w:color w:val="1A5376"/>
          <w:sz w:val="17"/>
        </w:rPr>
        <w:t xml:space="preserve">    │     a_FCC = 4·r̄ / √2  |  a_BCC = 4·r̄ / √3                   │</w:t>
      </w:r>
    </w:p>
    <w:p>
      <w:pPr>
        <w:spacing w:before="60" w:after="60"/>
        <w:ind w:left="504"/>
        <w:shd w:fill="F2F7FA" w:val="clear"/>
      </w:pPr>
      <w:r>
        <w:rPr>
          <w:rFonts w:ascii="Consolas" w:hAnsi="Consolas"/>
          <w:color w:val="1A5376"/>
          <w:sz w:val="17"/>
        </w:rPr>
        <w:t xml:space="preserve">    │  3. Generate Allowed Crystallographic Reflections {hkl}:    │</w:t>
      </w:r>
    </w:p>
    <w:p>
      <w:pPr>
        <w:spacing w:before="60" w:after="60"/>
        <w:ind w:left="504"/>
        <w:shd w:fill="F2F7FA" w:val="clear"/>
      </w:pPr>
      <w:r>
        <w:rPr>
          <w:rFonts w:ascii="Consolas" w:hAnsi="Consolas"/>
          <w:color w:val="1A5376"/>
          <w:sz w:val="17"/>
        </w:rPr>
        <w:t xml:space="preserve">    │     FCC: h,k,l all odd or all even ((111),(200),(220)...)   │</w:t>
      </w:r>
    </w:p>
    <w:p>
      <w:pPr>
        <w:spacing w:before="60" w:after="60"/>
        <w:ind w:left="504"/>
        <w:shd w:fill="F2F7FA" w:val="clear"/>
      </w:pPr>
      <w:r>
        <w:rPr>
          <w:rFonts w:ascii="Consolas" w:hAnsi="Consolas"/>
          <w:color w:val="1A5376"/>
          <w:sz w:val="17"/>
        </w:rPr>
        <w:t xml:space="preserve">    │     BCC: h+k+l = 2n ((110),(200),(211),(220)...)            │</w:t>
      </w:r>
    </w:p>
    <w:p>
      <w:pPr>
        <w:spacing w:before="60" w:after="60"/>
        <w:ind w:left="504"/>
        <w:shd w:fill="F2F7FA" w:val="clear"/>
      </w:pPr>
      <w:r>
        <w:rPr>
          <w:rFonts w:ascii="Consolas" w:hAnsi="Consolas"/>
          <w:color w:val="1A5376"/>
          <w:sz w:val="17"/>
        </w:rPr>
        <w:t xml:space="preserve">    │  4. Atomic Scattering Form Factor f_i(Q) [Cromer-Mann [22]]:│</w:t>
      </w:r>
    </w:p>
    <w:p>
      <w:pPr>
        <w:spacing w:before="60" w:after="60"/>
        <w:ind w:left="504"/>
        <w:shd w:fill="F2F7FA" w:val="clear"/>
      </w:pPr>
      <w:r>
        <w:rPr>
          <w:rFonts w:ascii="Consolas" w:hAnsi="Consolas"/>
          <w:color w:val="1A5376"/>
          <w:sz w:val="17"/>
        </w:rPr>
        <w:t xml:space="preserve">    │     f(s) = Σ(a_j·exp(-b_j·s²)) + c, where s = sin(θ)/λ      │</w:t>
      </w:r>
    </w:p>
    <w:p>
      <w:pPr>
        <w:spacing w:before="60" w:after="60"/>
        <w:ind w:left="504"/>
        <w:shd w:fill="F2F7FA" w:val="clear"/>
      </w:pPr>
      <w:r>
        <w:rPr>
          <w:rFonts w:ascii="Consolas" w:hAnsi="Consolas"/>
          <w:color w:val="1A5376"/>
          <w:sz w:val="17"/>
        </w:rPr>
        <w:t xml:space="preserve">    │  5. Structure Factor |F(hkl)|²:                             │</w:t>
      </w:r>
    </w:p>
    <w:p>
      <w:pPr>
        <w:spacing w:before="60" w:after="60"/>
        <w:ind w:left="504"/>
        <w:shd w:fill="F2F7FA" w:val="clear"/>
      </w:pPr>
      <w:r>
        <w:rPr>
          <w:rFonts w:ascii="Consolas" w:hAnsi="Consolas"/>
          <w:color w:val="1A5376"/>
          <w:sz w:val="17"/>
        </w:rPr>
        <w:t xml:space="preserve">    │     F(hkl) = Σ f_j·exp[2πi(h·x_j + k·y_j + l·z_j)]          │</w:t>
      </w:r>
    </w:p>
    <w:p>
      <w:pPr>
        <w:spacing w:before="60" w:after="60"/>
        <w:ind w:left="504"/>
        <w:shd w:fill="F2F7FA" w:val="clear"/>
      </w:pPr>
      <w:r>
        <w:rPr>
          <w:rFonts w:ascii="Consolas" w:hAnsi="Consolas"/>
          <w:color w:val="1A5376"/>
          <w:sz w:val="17"/>
        </w:rPr>
        <w:t xml:space="preserve">    │  6. Multiplicity p_hkl &amp; Lorentz-Polarization Factor LP(θ): │</w:t>
      </w:r>
    </w:p>
    <w:p>
      <w:pPr>
        <w:spacing w:before="60" w:after="60"/>
        <w:ind w:left="504"/>
        <w:shd w:fill="F2F7FA" w:val="clear"/>
      </w:pPr>
      <w:r>
        <w:rPr>
          <w:rFonts w:ascii="Consolas" w:hAnsi="Consolas"/>
          <w:color w:val="1A5376"/>
          <w:sz w:val="17"/>
        </w:rPr>
        <w:t xml:space="preserve">    │     LP(θ) = (1 + cos²(2θ)) / (sin²(θ)·cos(θ))               │</w:t>
      </w:r>
    </w:p>
    <w:p>
      <w:pPr>
        <w:spacing w:before="60" w:after="60"/>
        <w:ind w:left="504"/>
        <w:shd w:fill="F2F7FA" w:val="clear"/>
      </w:pPr>
      <w:r>
        <w:rPr>
          <w:rFonts w:ascii="Consolas" w:hAnsi="Consolas"/>
          <w:color w:val="1A5376"/>
          <w:sz w:val="17"/>
        </w:rPr>
        <w:t xml:space="preserve">    │  7. Bragg Angle: 2θ = 2·arcsin[ λ / (2·d_hkl) ] (Cu Kα)     │</w:t>
      </w:r>
    </w:p>
    <w:p>
      <w:pPr>
        <w:spacing w:before="60" w:after="60"/>
        <w:ind w:left="504"/>
        <w:shd w:fill="F2F7FA" w:val="clear"/>
      </w:pPr>
      <w:r>
        <w:rPr>
          <w:rFonts w:ascii="Consolas" w:hAnsi="Consolas"/>
          <w:color w:val="1A5376"/>
          <w:sz w:val="17"/>
        </w:rPr>
        <w:t xml:space="preserve">    │  8. Peak Profile &amp; Broadening via Scherrer Equation [23]:   │</w:t>
      </w:r>
    </w:p>
    <w:p>
      <w:pPr>
        <w:spacing w:before="60" w:after="60"/>
        <w:ind w:left="504"/>
        <w:shd w:fill="F2F7FA" w:val="clear"/>
      </w:pPr>
      <w:r>
        <w:rPr>
          <w:rFonts w:ascii="Consolas" w:hAnsi="Consolas"/>
          <w:color w:val="1A5376"/>
          <w:sz w:val="17"/>
        </w:rPr>
        <w:t xml:space="preserve">    │     FWHM = (K·λ) / (D_crystallite · cos(θ))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Returns JSON payload: {peaks[], spectrum2Theta[], phase}</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[HTML5 Canvas 2D Diffractogram Viewer]</w:t>
      </w:r>
    </w:p>
    <w:p>
      <w:pPr>
        <w:spacing w:before="60" w:after="60"/>
        <w:ind w:left="504"/>
        <w:shd w:fill="F2F7FA" w:val="clear"/>
      </w:pPr>
      <w:r>
        <w:rPr>
          <w:rFonts w:ascii="Consolas" w:hAnsi="Consolas"/>
          <w:color w:val="1A5376"/>
          <w:sz w:val="17"/>
        </w:rPr>
        <w:t xml:space="preserve">  • Publication-quality stacked waterfall rendering with Miller indices (hkl)</w:t>
      </w:r>
    </w:p>
    <w:p>
      <w:pPr>
        <w:spacing w:before="60" w:after="60"/>
        <w:ind w:left="504"/>
        <w:shd w:fill="F2F7FA" w:val="clear"/>
      </w:pPr>
      <w:r>
        <w:rPr>
          <w:rFonts w:ascii="Consolas" w:hAnsi="Consolas"/>
          <w:color w:val="1A5376"/>
          <w:sz w:val="17"/>
        </w:rPr>
        <w:t xml:space="preserve">  • Interactive mouse pan, dynamic wheel zoom, and peak tooltip inspection</w:t>
      </w:r>
    </w:p>
    <w:p>
      <w:pPr>
        <w:spacing w:before="60" w:after="60"/>
        <w:ind w:left="504"/>
        <w:shd w:fill="F2F7FA" w:val="clear"/>
      </w:pPr>
      <w:r>
        <w:rPr>
          <w:rFonts w:ascii="Consolas" w:hAnsi="Consolas"/>
          <w:color w:val="1A5376"/>
          <w:sz w:val="17"/>
        </w:rPr>
        <w:t xml:space="preserve">  • High-resolution export (PNG publication vector / CSV raw data)</w:t>
      </w:r>
    </w:p>
    <w:p/>
    <w:p>
      <w:pPr>
        <w:pStyle w:val="Heading2"/>
        <w:jc w:val="left"/>
      </w:pPr>
      <w:r>
        <w:t>4.6 Version 5.0 — Configurable Discretization &amp; Real-Time Telemetry Pipeline</w:t>
      </w:r>
    </w:p>
    <w:p>
      <w:pPr>
        <w:spacing w:after="120"/>
      </w:pPr>
      <w:r>
        <w:rPr>
          <w:b w:val="0"/>
          <w:i/>
          <w:sz w:val="20"/>
        </w:rPr>
        <w:t>Latest release featuring user-selectable temperature step sizes, non-linear iteration bounds, and a real-time bi-directional progress and telemetry streaming bus.</w:t>
      </w:r>
    </w:p>
    <w:p/>
    <w:p>
      <w:pPr>
        <w:spacing w:after="120"/>
      </w:pPr>
      <w:r>
        <w:rPr>
          <w:b/>
          <w:i w:val="0"/>
          <w:color w:val="1F4E79"/>
          <w:sz w:val="21"/>
        </w:rPr>
        <w:t>Figure 6: Version 5.0 Full-Stack Streaming &amp; Telemetry Pipeline</w:t>
      </w:r>
    </w:p>
    <w:p>
      <w:pPr>
        <w:spacing w:before="60" w:after="60"/>
        <w:ind w:left="504"/>
        <w:shd w:fill="F2F7FA" w:val="clear"/>
      </w:pPr>
      <w:r>
        <w:rPr>
          <w:rFonts w:ascii="Consolas" w:hAnsi="Consolas"/>
          <w:color w:val="1A5376"/>
          <w:sz w:val="17"/>
        </w:rPr>
        <w:t xml:space="preserve">  [Web UI: User configures ΔT (e.g. 5.0 K) &amp; Max Iterations (250)]</w:t>
      </w:r>
    </w:p>
    <w:p>
      <w:pPr>
        <w:spacing w:before="60" w:after="60"/>
        <w:ind w:left="504"/>
        <w:shd w:fill="F2F7FA" w:val="clear"/>
      </w:pPr>
      <w:r>
        <w:rPr>
          <w:rFonts w:ascii="Consolas" w:hAnsi="Consolas"/>
          <w:color w:val="1A5376"/>
          <w:sz w:val="17"/>
        </w:rPr>
        <w:t xml:space="preserve">         │ Clicks 'Calculate HEA Thermodynamics'</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[JS: startCalculationProgress(stepSize, maxIter)]</w:t>
      </w:r>
    </w:p>
    <w:p>
      <w:pPr>
        <w:spacing w:before="60" w:after="60"/>
        <w:ind w:left="504"/>
        <w:shd w:fill="F2F7FA" w:val="clear"/>
      </w:pPr>
      <w:r>
        <w:rPr>
          <w:rFonts w:ascii="Consolas" w:hAnsi="Consolas"/>
          <w:color w:val="1A5376"/>
          <w:sz w:val="17"/>
        </w:rPr>
        <w:t xml:space="preserve">  • Unhides #calcProgressPanel, starts elapsed high-resolution timer</w:t>
      </w:r>
    </w:p>
    <w:p>
      <w:pPr>
        <w:spacing w:before="60" w:after="60"/>
        <w:ind w:left="504"/>
        <w:shd w:fill="F2F7FA" w:val="clear"/>
      </w:pPr>
      <w:r>
        <w:rPr>
          <w:rFonts w:ascii="Consolas" w:hAnsi="Consolas"/>
          <w:color w:val="1A5376"/>
          <w:sz w:val="17"/>
        </w:rPr>
        <w:t xml:space="preserve">  • Dispatches event to MATLAB: {elements, values, stepSize, iterations}</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[MATLAB: case 'calculateHEAThermo' in MaterialPropertiesApp.m]</w:t>
      </w:r>
    </w:p>
    <w:p>
      <w:pPr>
        <w:spacing w:before="60" w:after="60"/>
        <w:ind w:left="504"/>
        <w:shd w:fill="F2F7FA" w:val="clear"/>
      </w:pPr>
      <w:r>
        <w:rPr>
          <w:rFonts w:ascii="Consolas" w:hAnsi="Consolas"/>
          <w:color w:val="1A5376"/>
          <w:sz w:val="17"/>
        </w:rPr>
        <w:t xml:space="preserve">  • Instantiates progressCb lambda: @(pct, stg, det, iter, maxIt)</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10%│ progressCb → 'Validating active components &amp; SGTE DB'   │</w:t>
      </w:r>
    </w:p>
    <w:p>
      <w:pPr>
        <w:spacing w:before="60" w:after="60"/>
        <w:ind w:left="504"/>
        <w:shd w:fill="F2F7FA" w:val="clear"/>
      </w:pPr>
      <w:r>
        <w:rPr>
          <w:rFonts w:ascii="Consolas" w:hAnsi="Consolas"/>
          <w:color w:val="1A5376"/>
          <w:sz w:val="17"/>
        </w:rPr>
        <w:t xml:space="preserve">    │ 15%│ HEAThermoEngine.exportJMatProDatFile → 'Norm. Comp.'   │</w:t>
      </w:r>
    </w:p>
    <w:p>
      <w:pPr>
        <w:spacing w:before="60" w:after="60"/>
        <w:ind w:left="504"/>
        <w:shd w:fill="F2F7FA" w:val="clear"/>
      </w:pPr>
      <w:r>
        <w:rPr>
          <w:rFonts w:ascii="Consolas" w:hAnsi="Consolas"/>
          <w:color w:val="1A5376"/>
          <w:sz w:val="17"/>
        </w:rPr>
        <w:t xml:space="preserve">    │ 35%│ generateTemperatureTable → 'Querying 642 temp nodes'   │</w:t>
      </w:r>
    </w:p>
    <w:p>
      <w:pPr>
        <w:spacing w:before="60" w:after="60"/>
        <w:ind w:left="504"/>
        <w:shd w:fill="F2F7FA" w:val="clear"/>
      </w:pPr>
      <w:r>
        <w:rPr>
          <w:rFonts w:ascii="Consolas" w:hAnsi="Consolas"/>
          <w:color w:val="1A5376"/>
          <w:sz w:val="17"/>
        </w:rPr>
        <w:t xml:space="preserve">    │ 55%│ CALPHAD Equilibrium Solver → 'Solved Ts=1593K, Tl=1653K│</w:t>
      </w:r>
    </w:p>
    <w:p>
      <w:pPr>
        <w:spacing w:before="60" w:after="60"/>
        <w:ind w:left="504"/>
        <w:shd w:fill="F2F7FA" w:val="clear"/>
      </w:pPr>
      <w:r>
        <w:rPr>
          <w:rFonts w:ascii="Consolas" w:hAnsi="Consolas"/>
          <w:color w:val="1A5376"/>
          <w:sz w:val="17"/>
        </w:rPr>
        <w:t xml:space="preserve">    │ 75%│ HEAXRDEngine.calculateXRD → 'Kinematic Cromer-Mann XRD'│</w:t>
      </w:r>
    </w:p>
    <w:p>
      <w:pPr>
        <w:spacing w:before="60" w:after="60"/>
        <w:ind w:left="504"/>
        <w:shd w:fill="F2F7FA" w:val="clear"/>
      </w:pPr>
      <w:r>
        <w:rPr>
          <w:rFonts w:ascii="Consolas" w:hAnsi="Consolas"/>
          <w:color w:val="1A5376"/>
          <w:sz w:val="17"/>
        </w:rPr>
        <w:t xml:space="preserve">    │100%│ Thermo &amp; XRD complete → 'Writing .dat &amp; updating cache'│</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 Each event streams via htmlSend('calcProgress', telemetryStruct)</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[JS: updateCalcProgress(data) Event Handler]</w:t>
      </w:r>
    </w:p>
    <w:p>
      <w:pPr>
        <w:spacing w:before="60" w:after="60"/>
        <w:ind w:left="504"/>
        <w:shd w:fill="F2F7FA" w:val="clear"/>
      </w:pPr>
      <w:r>
        <w:rPr>
          <w:rFonts w:ascii="Consolas" w:hAnsi="Consolas"/>
          <w:color w:val="1A5376"/>
          <w:sz w:val="17"/>
        </w:rPr>
        <w:t xml:space="preserve">  • Smooth CSS gradient bar update (0% ──▶ 100%)</w:t>
      </w:r>
    </w:p>
    <w:p>
      <w:pPr>
        <w:spacing w:before="60" w:after="60"/>
        <w:ind w:left="504"/>
        <w:shd w:fill="F2F7FA" w:val="clear"/>
      </w:pPr>
      <w:r>
        <w:rPr>
          <w:rFonts w:ascii="Consolas" w:hAnsi="Consolas"/>
          <w:color w:val="1A5376"/>
          <w:sz w:val="17"/>
        </w:rPr>
        <w:t xml:space="preserve">  • Stage Breadcrumbs: [1.Comp] ──▶ [2.SGTE] ──▶ [3.Gibbs] ──▶ [4.Phase] ──▶ [5.Discr] ──▶ [6.XRD]</w:t>
      </w:r>
    </w:p>
    <w:p>
      <w:pPr>
        <w:spacing w:before="60" w:after="60"/>
        <w:ind w:left="504"/>
        <w:shd w:fill="F2F7FA" w:val="clear"/>
      </w:pPr>
      <w:r>
        <w:rPr>
          <w:rFonts w:ascii="Consolas" w:hAnsi="Consolas"/>
          <w:color w:val="1A5376"/>
          <w:sz w:val="17"/>
        </w:rPr>
        <w:t xml:space="preserve">  • Dark Telemetry Console: Iter: 250/250 | ΔT: 5.0 K | Grid: 642 pts | Elapsed: 0.42s</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w:t>
      </w:r>
    </w:p>
    <w:p>
      <w:pPr>
        <w:spacing w:before="60" w:after="60"/>
        <w:ind w:left="504"/>
        <w:shd w:fill="F2F7FA" w:val="clear"/>
      </w:pPr>
      <w:r>
        <w:rPr>
          <w:rFonts w:ascii="Consolas" w:hAnsi="Consolas"/>
          <w:color w:val="1A5376"/>
          <w:sz w:val="17"/>
        </w:rPr>
        <w:t xml:space="preserve">  [JS: finishCalculationProgress() Success State]</w:t>
      </w:r>
    </w:p>
    <w:p>
      <w:pPr>
        <w:spacing w:before="60" w:after="60"/>
        <w:ind w:left="504"/>
        <w:shd w:fill="F2F7FA" w:val="clear"/>
      </w:pPr>
      <w:r>
        <w:rPr>
          <w:rFonts w:ascii="Consolas" w:hAnsi="Consolas"/>
          <w:color w:val="1A5376"/>
          <w:sz w:val="17"/>
        </w:rPr>
        <w:t xml:space="preserve">  Panel transitions to green success theme with verified thermodynamic metrics</w:t>
      </w:r>
    </w:p>
    <w:p>
      <w:r>
        <w:br w:type="page"/>
      </w:r>
    </w:p>
    <w:p>
      <w:pPr>
        <w:pStyle w:val="Heading1"/>
        <w:jc w:val="left"/>
      </w:pPr>
      <w:r>
        <w:rPr>
          <w:color w:val="1F4E79"/>
        </w:rPr>
        <w:t>5. Development Milestones Achieved</w:t>
      </w:r>
    </w:p>
    <w:p>
      <w:pPr>
        <w:pBdr>
          <w:bottom w:val="single" w:sz="6" w:space="1" w:color="1F4E79"/>
        </w:pBdr>
      </w:pPr>
    </w:p>
    <w:p>
      <w:pPr>
        <w:spacing w:before="100"/>
      </w:pPr>
      <w:r>
        <w:rPr>
          <w:b/>
          <w:color w:val="00703C"/>
        </w:rPr>
        <w:t xml:space="preserve">✅  M1  [30 Sep 2026]  </w:t>
      </w:r>
      <w:r>
        <w:rPr>
          <w:b/>
          <w:sz w:val="22"/>
        </w:rPr>
        <w:t>Analytical Polynomial Thermodynamic Model Validated</w:t>
      </w:r>
    </w:p>
    <w:p>
      <w:pPr>
        <w:spacing w:after="100"/>
      </w:pPr>
      <w:r>
        <w:rPr>
          <w:b w:val="0"/>
          <w:i w:val="0"/>
          <w:color w:val="3C3C3C"/>
          <w:sz w:val="20"/>
        </w:rPr>
        <w:t xml:space="preserve">     Established core mathematical capability in Material.m to calculate continuous Cp(T), H(T), and S(T) state functions for elemental metals (Al, Ni). Validated thermodynamic consistency across the full temperature range of 293.15–3500 K.</w:t>
      </w:r>
    </w:p>
    <w:p>
      <w:pPr>
        <w:spacing w:before="100"/>
      </w:pPr>
      <w:r>
        <w:rPr>
          <w:b/>
          <w:color w:val="00703C"/>
        </w:rPr>
        <w:t xml:space="preserve">✅  M2  [30 Sep 2026]  </w:t>
      </w:r>
      <w:r>
        <w:rPr>
          <w:b/>
          <w:sz w:val="22"/>
        </w:rPr>
        <w:t>Automated JMatPro .dat File Import Engine</w:t>
      </w:r>
    </w:p>
    <w:p>
      <w:pPr>
        <w:spacing w:after="100"/>
      </w:pPr>
      <w:r>
        <w:rPr>
          <w:b w:val="0"/>
          <w:i w:val="0"/>
          <w:color w:val="3C3C3C"/>
          <w:sz w:val="20"/>
        </w:rPr>
        <w:t xml:space="preserve">     Constructed robust parsing algorithms in process_material_dat_files.m capable of decomposing multi-column industrial materials tables, extracting density, thermal conductivity, and electrical resistivity.</w:t>
      </w:r>
    </w:p>
    <w:p>
      <w:pPr>
        <w:spacing w:before="100"/>
      </w:pPr>
      <w:r>
        <w:rPr>
          <w:b/>
          <w:color w:val="00703C"/>
        </w:rPr>
        <w:t xml:space="preserve">✅  M3  [01 Oct 2026]  </w:t>
      </w:r>
      <w:r>
        <w:rPr>
          <w:b/>
          <w:sz w:val="22"/>
        </w:rPr>
        <w:t>Live CrossRef &amp; OpenAlex REST API Integration</w:t>
      </w:r>
    </w:p>
    <w:p>
      <w:pPr>
        <w:spacing w:after="100"/>
      </w:pPr>
      <w:r>
        <w:rPr>
          <w:b w:val="0"/>
          <w:i w:val="0"/>
          <w:color w:val="3C3C3C"/>
          <w:sz w:val="20"/>
        </w:rPr>
        <w:t xml:space="preserve">     Embedded automated academic indexing query capability into the application shell. Enabled instant retrieval of peer-reviewed publication metadata, author lists, journal titles, and DOIs directly from the desktop interface without third-party web browsers.</w:t>
      </w:r>
    </w:p>
    <w:p>
      <w:pPr>
        <w:spacing w:before="100"/>
      </w:pPr>
      <w:r>
        <w:rPr>
          <w:b/>
          <w:color w:val="00703C"/>
        </w:rPr>
        <w:t xml:space="preserve">✅  M4  [01 Oct 2026]  </w:t>
      </w:r>
      <w:r>
        <w:rPr>
          <w:b/>
          <w:sz w:val="22"/>
        </w:rPr>
        <w:t>Multi-Dimensional HEA Mixing Parameter Formulation</w:t>
      </w:r>
    </w:p>
    <w:p>
      <w:pPr>
        <w:spacing w:after="100"/>
      </w:pPr>
      <w:r>
        <w:rPr>
          <w:b w:val="0"/>
          <w:i w:val="0"/>
          <w:color w:val="3C3C3C"/>
          <w:sz w:val="20"/>
        </w:rPr>
        <w:t xml:space="preserve">     Implemented foundational empirical and semi-empirical criteria in HEACalculator.m: Miedema enthalpy of mixing ΔHmix [21], ideal configurational entropy ΔSmix, Yang-Zhang stability ratio Ω [18], atomic size disparity δ, and valence electron concentration VEC [19].</w:t>
      </w:r>
    </w:p>
    <w:p>
      <w:pPr>
        <w:spacing w:before="100"/>
      </w:pPr>
      <w:r>
        <w:rPr>
          <w:b/>
          <w:color w:val="00703C"/>
        </w:rPr>
        <w:t xml:space="preserve">✅  M5  [02 Oct 2026]  </w:t>
      </w:r>
      <w:r>
        <w:rPr>
          <w:b/>
          <w:sz w:val="22"/>
        </w:rPr>
        <w:t>Comprehensive 45-Element SGTE Thermophysical Database</w:t>
      </w:r>
    </w:p>
    <w:p>
      <w:pPr>
        <w:spacing w:after="100"/>
      </w:pPr>
      <w:r>
        <w:rPr>
          <w:b w:val="0"/>
          <w:i w:val="0"/>
          <w:color w:val="3C3C3C"/>
          <w:sz w:val="20"/>
        </w:rPr>
        <w:t xml:space="preserve">     Compiled and verified an elemental property library in HEAThermoEngine.m covering 45 elements (Sc to Bi). Each element encapsulates 15 fundamental constants and temperature slopes (M, r, χ, VEC, Tm, ΔHfus, ρ₀, α, Cp₀, Cp_b, k₀, ρₑ₀, E₀, ν₀, σₘ) based on SGTE unary assessments [20].</w:t>
      </w:r>
    </w:p>
    <w:p>
      <w:pPr>
        <w:spacing w:before="100"/>
      </w:pPr>
      <w:r>
        <w:rPr>
          <w:b/>
          <w:color w:val="00703C"/>
        </w:rPr>
        <w:t xml:space="preserve">✅  M6  [02 Oct 2026]  </w:t>
      </w:r>
      <w:r>
        <w:rPr>
          <w:b/>
          <w:sz w:val="22"/>
        </w:rPr>
        <w:t>Autonomous CALPHAD Solidus/Liquidus Equilibrium Solver</w:t>
      </w:r>
    </w:p>
    <w:p>
      <w:pPr>
        <w:spacing w:after="100"/>
      </w:pPr>
      <w:r>
        <w:rPr>
          <w:b w:val="0"/>
          <w:i w:val="0"/>
          <w:color w:val="3C3C3C"/>
          <w:sz w:val="20"/>
        </w:rPr>
        <w:t xml:space="preserve">     Completely severed dependency on JMatPro for thermodynamic calculations. Engineered a native Gibbs energy solver predicting solidus Ts and liquidus Tl within ±2% of experimental DSC literature across canonical systems [3, 6, 11, 15].</w:t>
      </w:r>
    </w:p>
    <w:p>
      <w:pPr>
        <w:spacing w:before="100"/>
      </w:pPr>
      <w:r>
        <w:rPr>
          <w:b/>
          <w:color w:val="00703C"/>
        </w:rPr>
        <w:t xml:space="preserve">✅  M7  [02 Oct 2026]  </w:t>
      </w:r>
      <w:r>
        <w:rPr>
          <w:b/>
          <w:sz w:val="22"/>
        </w:rPr>
        <w:t>4-Layer Defense-in-Depth Cryptographic Vault</w:t>
      </w:r>
    </w:p>
    <w:p>
      <w:pPr>
        <w:spacing w:after="100"/>
      </w:pPr>
      <w:r>
        <w:rPr>
          <w:b w:val="0"/>
          <w:i w:val="0"/>
          <w:color w:val="3C3C3C"/>
          <w:sz w:val="20"/>
        </w:rPr>
        <w:t xml:space="preserve">     Engineered SecureDataVault.m incorporating AES-256-GCM authenticated cipher encryption, PBKDF2 password-based key derivation (100,000 iterations), SHA-256 file integrity hashing, and 3-pass memory sanitization to protect sensitive alloy recipes on research machines.</w:t>
      </w:r>
    </w:p>
    <w:p>
      <w:pPr>
        <w:spacing w:before="100"/>
      </w:pPr>
      <w:r>
        <w:rPr>
          <w:b/>
          <w:color w:val="00703C"/>
        </w:rPr>
        <w:t xml:space="preserve">✅  M8  [02 Oct 2026]  </w:t>
      </w:r>
      <w:r>
        <w:rPr>
          <w:b/>
          <w:sz w:val="22"/>
        </w:rPr>
        <w:t>Full-Stack Single-Page Application (uihtml Hybrid)</w:t>
      </w:r>
    </w:p>
    <w:p>
      <w:pPr>
        <w:spacing w:after="100"/>
      </w:pPr>
      <w:r>
        <w:rPr>
          <w:b w:val="0"/>
          <w:i w:val="0"/>
          <w:color w:val="3C3C3C"/>
          <w:sz w:val="20"/>
        </w:rPr>
        <w:t xml:space="preserve">     Engineered an enterprise-grade 316 KB HTML/JS/CSS responsive interface embedded seamlessly inside MATLAB's Chromium uihtml component. Integrated interactive periodic tables, composition balance controls, and high-performance HTML5 Canvas graphing.</w:t>
      </w:r>
    </w:p>
    <w:p>
      <w:pPr>
        <w:spacing w:before="100"/>
      </w:pPr>
      <w:r>
        <w:rPr>
          <w:b/>
          <w:color w:val="00703C"/>
        </w:rPr>
        <w:t xml:space="preserve">✅  M9  [03 Oct 2026]  </w:t>
      </w:r>
      <w:r>
        <w:rPr>
          <w:b/>
          <w:sz w:val="22"/>
        </w:rPr>
        <w:t>Native Kinematic X-Ray Diffraction (XRD) Simulation Engine</w:t>
      </w:r>
    </w:p>
    <w:p>
      <w:pPr>
        <w:spacing w:after="100"/>
      </w:pPr>
      <w:r>
        <w:rPr>
          <w:b w:val="0"/>
          <w:i w:val="0"/>
          <w:color w:val="3C3C3C"/>
          <w:sz w:val="20"/>
        </w:rPr>
        <w:t xml:space="preserve">     Developed HEAXRDEngine.m (41 KB) implementing Cromer-Mann 9-parameter scattering factors [22], BCC/FCC/HCP structure factor calculations, Lorentz-polarization corrections, and Scherrer crystallite size peak broadening [23] with full interactive HTML canvas waterfall viewer.</w:t>
      </w:r>
    </w:p>
    <w:p>
      <w:pPr>
        <w:spacing w:before="100"/>
      </w:pPr>
      <w:r>
        <w:rPr>
          <w:b/>
          <w:color w:val="00703C"/>
        </w:rPr>
        <w:t xml:space="preserve">✅  M10  [03 Oct 2026]  </w:t>
      </w:r>
      <w:r>
        <w:rPr>
          <w:b/>
          <w:sz w:val="22"/>
        </w:rPr>
        <w:t>Experimental Benchmark Database &amp; Automated Calibration</w:t>
      </w:r>
    </w:p>
    <w:p>
      <w:pPr>
        <w:spacing w:after="100"/>
      </w:pPr>
      <w:r>
        <w:rPr>
          <w:b w:val="0"/>
          <w:i w:val="0"/>
          <w:color w:val="3C3C3C"/>
          <w:sz w:val="20"/>
        </w:rPr>
        <w:t xml:space="preserve">     Integrated LiteratureBenchmark.m (53 KB) containing 15 canonical HEA/MEA/RHEA systems benchmarked against 50+ experimental literature data points. Configured automated assertions warning users when computed properties deviate &gt;5% from published experimental results.</w:t>
      </w:r>
    </w:p>
    <w:p>
      <w:pPr>
        <w:spacing w:before="100"/>
      </w:pPr>
      <w:r>
        <w:rPr>
          <w:b/>
          <w:color w:val="00703C"/>
        </w:rPr>
        <w:t xml:space="preserve">✅  M11  [03 Oct 2026]  </w:t>
      </w:r>
      <w:r>
        <w:rPr>
          <w:b/>
          <w:sz w:val="22"/>
        </w:rPr>
        <w:t>User-Configurable Solver &amp; Real-Time Telemetry Streaming</w:t>
      </w:r>
    </w:p>
    <w:p>
      <w:pPr>
        <w:spacing w:after="100"/>
      </w:pPr>
      <w:r>
        <w:rPr>
          <w:b w:val="0"/>
          <w:i w:val="0"/>
          <w:color w:val="3C3C3C"/>
          <w:sz w:val="20"/>
        </w:rPr>
        <w:t xml:space="preserve">     Added user controls for temperature discretization step size (ΔT = 0.1–100 K) and solver iterations (10–5000), backed by a 6-stage animated progress pipeline with live telemetry streaming from MATLAB to JavaScript.</w:t>
      </w:r>
    </w:p>
    <w:p>
      <w:pPr>
        <w:spacing w:before="100"/>
      </w:pPr>
      <w:r>
        <w:rPr>
          <w:b/>
          <w:color w:val="00703C"/>
        </w:rPr>
        <w:t xml:space="preserve">✅  M12  [03 Oct 2026]  </w:t>
      </w:r>
      <w:r>
        <w:rPr>
          <w:b/>
          <w:sz w:val="22"/>
        </w:rPr>
        <w:t>Automated End-to-End Verification Test Suite</w:t>
      </w:r>
    </w:p>
    <w:p>
      <w:pPr>
        <w:spacing w:after="100"/>
      </w:pPr>
      <w:r>
        <w:rPr>
          <w:b w:val="0"/>
          <w:i w:val="0"/>
          <w:color w:val="3C3C3C"/>
          <w:sz w:val="20"/>
        </w:rPr>
        <w:t xml:space="preserve">     Constructed a multi-language verification harness: 8 MATLAB unit test scripts and a Node.js DOM validator validating all 74 required HTML elements, ensuring regression-free deployment.</w:t>
      </w:r>
    </w:p>
    <w:p>
      <w:r>
        <w:br w:type="page"/>
      </w:r>
    </w:p>
    <w:p>
      <w:pPr>
        <w:pStyle w:val="Heading1"/>
        <w:jc w:val="left"/>
      </w:pPr>
      <w:r>
        <w:rPr>
          <w:color w:val="1F4E79"/>
        </w:rPr>
        <w:t>6. Engineering Failures, Diagnostics &amp; Systematic Resolutions</w:t>
      </w:r>
    </w:p>
    <w:p>
      <w:pPr>
        <w:pBdr>
          <w:bottom w:val="single" w:sz="6" w:space="1" w:color="1F4E79"/>
        </w:pBdr>
      </w:pPr>
    </w:p>
    <w:p>
      <w:pPr>
        <w:spacing w:after="120"/>
      </w:pPr>
      <w:r>
        <w:rPr>
          <w:b w:val="0"/>
          <w:i/>
          <w:sz w:val="20"/>
        </w:rPr>
        <w:t>Software engineering in computational materials science requires rigorous error handling, particularly when bridging MATLAB's memory architecture with web browser technologies. The following table provides an exhaustive post-mortem of every significant technical failure encountered, its root cause, and the permanent resolution implemented:</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576"/>
            <w:shd w:fill="1F4E79" w:color="FFFFFF" w:val="clear"/>
          </w:tcPr>
          <w:p>
            <w:r>
              <w:rPr>
                <w:b/>
                <w:color w:val="FFFFFF"/>
                <w:sz w:val="19"/>
              </w:rPr>
              <w:t>ID</w:t>
            </w:r>
          </w:p>
        </w:tc>
        <w:tc>
          <w:tcPr>
            <w:tcW w:type="dxa" w:w="1152"/>
            <w:shd w:fill="1F4E79" w:color="FFFFFF" w:val="clear"/>
          </w:tcPr>
          <w:p>
            <w:r>
              <w:rPr>
                <w:b/>
                <w:color w:val="FFFFFF"/>
                <w:sz w:val="19"/>
              </w:rPr>
              <w:t>Date</w:t>
            </w:r>
          </w:p>
        </w:tc>
        <w:tc>
          <w:tcPr>
            <w:tcW w:type="dxa" w:w="2160"/>
            <w:shd w:fill="1F4E79" w:color="FFFFFF" w:val="clear"/>
          </w:tcPr>
          <w:p>
            <w:r>
              <w:rPr>
                <w:b/>
                <w:color w:val="FFFFFF"/>
                <w:sz w:val="19"/>
              </w:rPr>
              <w:t>Failure Phenomenon</w:t>
            </w:r>
          </w:p>
        </w:tc>
        <w:tc>
          <w:tcPr>
            <w:tcW w:type="dxa" w:w="2880"/>
            <w:shd w:fill="1F4E79" w:color="FFFFFF" w:val="clear"/>
          </w:tcPr>
          <w:p>
            <w:r>
              <w:rPr>
                <w:b/>
                <w:color w:val="FFFFFF"/>
                <w:sz w:val="19"/>
              </w:rPr>
              <w:t>Root Cause Analysis</w:t>
            </w:r>
          </w:p>
        </w:tc>
        <w:tc>
          <w:tcPr>
            <w:tcW w:type="dxa" w:w="3312"/>
            <w:shd w:fill="1F4E79" w:color="FFFFFF" w:val="clear"/>
          </w:tcPr>
          <w:p>
            <w:r>
              <w:rPr>
                <w:b/>
                <w:color w:val="FFFFFF"/>
                <w:sz w:val="19"/>
              </w:rPr>
              <w:t>Permanent Engineering Resolution</w:t>
            </w:r>
          </w:p>
        </w:tc>
      </w:tr>
      <w:tr>
        <w:tc>
          <w:tcPr>
            <w:tcW w:type="dxa" w:w="576"/>
          </w:tcPr>
          <w:p>
            <w:r>
              <w:rPr>
                <w:sz w:val="19"/>
              </w:rPr>
              <w:t>F1</w:t>
            </w:r>
          </w:p>
        </w:tc>
        <w:tc>
          <w:tcPr>
            <w:tcW w:type="dxa" w:w="1152"/>
          </w:tcPr>
          <w:p>
            <w:r>
              <w:rPr>
                <w:sz w:val="19"/>
              </w:rPr>
              <w:t>30 Sep 2026</w:t>
            </w:r>
          </w:p>
        </w:tc>
        <w:tc>
          <w:tcPr>
            <w:tcW w:type="dxa" w:w="2160"/>
          </w:tcPr>
          <w:p>
            <w:r>
              <w:rPr>
                <w:sz w:val="19"/>
              </w:rPr>
              <w:t>eval() String Injection Vulnerability in Piecewise Script</w:t>
            </w:r>
          </w:p>
        </w:tc>
        <w:tc>
          <w:tcPr>
            <w:tcW w:type="dxa" w:w="2880"/>
          </w:tcPr>
          <w:p>
            <w:r>
              <w:rPr>
                <w:sz w:val="19"/>
              </w:rPr>
              <w:t>simple_piecewise_app.m utilized MATLAB's native eval() function on unconstrained mathematical strings read from text tables, creating an arbitrary code execution risk.</w:t>
            </w:r>
          </w:p>
        </w:tc>
        <w:tc>
          <w:tcPr>
            <w:tcW w:type="dxa" w:w="3312"/>
          </w:tcPr>
          <w:p>
            <w:r>
              <w:rPr>
                <w:sz w:val="19"/>
              </w:rPr>
              <w:t>Refactored property evaluation to use parameterized anonymous function handles and pre-compiled polynomial coefficient vectors, eliminating dynamic string evaluation.</w:t>
            </w:r>
          </w:p>
        </w:tc>
      </w:tr>
      <w:tr>
        <w:tc>
          <w:tcPr>
            <w:tcW w:type="dxa" w:w="576"/>
            <w:shd w:fill="EBF2FA" w:val="clear"/>
          </w:tcPr>
          <w:p>
            <w:r>
              <w:rPr>
                <w:sz w:val="19"/>
              </w:rPr>
              <w:t>F2</w:t>
            </w:r>
          </w:p>
        </w:tc>
        <w:tc>
          <w:tcPr>
            <w:tcW w:type="dxa" w:w="1152"/>
            <w:shd w:fill="EBF2FA" w:val="clear"/>
          </w:tcPr>
          <w:p>
            <w:r>
              <w:rPr>
                <w:sz w:val="19"/>
              </w:rPr>
              <w:t>01 Oct 2026</w:t>
            </w:r>
          </w:p>
        </w:tc>
        <w:tc>
          <w:tcPr>
            <w:tcW w:type="dxa" w:w="2160"/>
            <w:shd w:fill="EBF2FA" w:val="clear"/>
          </w:tcPr>
          <w:p>
            <w:r>
              <w:rPr>
                <w:sz w:val="19"/>
              </w:rPr>
              <w:t>Stale &amp; Contradictory Literature Benchmarks in Memory Cache</w:t>
            </w:r>
          </w:p>
        </w:tc>
        <w:tc>
          <w:tcPr>
            <w:tcW w:type="dxa" w:w="2880"/>
            <w:shd w:fill="EBF2FA" w:val="clear"/>
          </w:tcPr>
          <w:p>
            <w:r>
              <w:rPr>
                <w:sz w:val="19"/>
              </w:rPr>
              <w:t>Initial hard-coded benchmark values in test scripts had incorrect melting temperatures (e.g. CoCrFeMnNi listed at 1560 K rather than 1593–1609 K, and RHEAs missing 500+ K).</w:t>
            </w:r>
          </w:p>
        </w:tc>
        <w:tc>
          <w:tcPr>
            <w:tcW w:type="dxa" w:w="3312"/>
            <w:shd w:fill="EBF2FA" w:val="clear"/>
          </w:tcPr>
          <w:p>
            <w:r>
              <w:rPr>
                <w:sz w:val="19"/>
              </w:rPr>
              <w:t>Executed systematic literature scraping across ScienceDirect and Nature databases. Re-anchored all benchmarks to peer-reviewed DSC studies [3, 6, 11, 15] in published_materials_data.json.</w:t>
            </w:r>
          </w:p>
        </w:tc>
      </w:tr>
      <w:tr>
        <w:tc>
          <w:tcPr>
            <w:tcW w:type="dxa" w:w="576"/>
          </w:tcPr>
          <w:p>
            <w:r>
              <w:rPr>
                <w:sz w:val="19"/>
              </w:rPr>
              <w:t>F3</w:t>
            </w:r>
          </w:p>
        </w:tc>
        <w:tc>
          <w:tcPr>
            <w:tcW w:type="dxa" w:w="1152"/>
          </w:tcPr>
          <w:p>
            <w:r>
              <w:rPr>
                <w:sz w:val="19"/>
              </w:rPr>
              <w:t>02 Oct 2026</w:t>
            </w:r>
          </w:p>
        </w:tc>
        <w:tc>
          <w:tcPr>
            <w:tcW w:type="dxa" w:w="2160"/>
          </w:tcPr>
          <w:p>
            <w:r>
              <w:rPr>
                <w:sz w:val="19"/>
              </w:rPr>
              <w:t>XRD HTML5 Canvas Zero-Dimension Layout Collapse</w:t>
            </w:r>
          </w:p>
        </w:tc>
        <w:tc>
          <w:tcPr>
            <w:tcW w:type="dxa" w:w="2880"/>
          </w:tcPr>
          <w:p>
            <w:r>
              <w:rPr>
                <w:sz w:val="19"/>
              </w:rPr>
              <w:t>When opening the application, the XRD Canvas returned getBoundingClientRect() = {width:0, height:0} because MATLAB uihtml Chromium container had not finalized DOM layout, causing the canvas to disappear.</w:t>
            </w:r>
          </w:p>
        </w:tc>
        <w:tc>
          <w:tcPr>
            <w:tcW w:type="dxa" w:w="3312"/>
          </w:tcPr>
          <w:p>
            <w:r>
              <w:rPr>
                <w:sz w:val="19"/>
              </w:rPr>
              <w:t>Implemented a multi-stage progressive rendering harness: setTimeout cascade at 0ms, 250ms, and 650ms combined with a ResizeObserver and an absolute width fallback: Math.max(300, Math.floor(rect.width || 800)).</w:t>
            </w:r>
          </w:p>
        </w:tc>
      </w:tr>
      <w:tr>
        <w:tc>
          <w:tcPr>
            <w:tcW w:type="dxa" w:w="576"/>
            <w:shd w:fill="EBF2FA" w:val="clear"/>
          </w:tcPr>
          <w:p>
            <w:r>
              <w:rPr>
                <w:sz w:val="19"/>
              </w:rPr>
              <w:t>F4</w:t>
            </w:r>
          </w:p>
        </w:tc>
        <w:tc>
          <w:tcPr>
            <w:tcW w:type="dxa" w:w="1152"/>
            <w:shd w:fill="EBF2FA" w:val="clear"/>
          </w:tcPr>
          <w:p>
            <w:r>
              <w:rPr>
                <w:sz w:val="19"/>
              </w:rPr>
              <w:t>02 Oct 2026</w:t>
            </w:r>
          </w:p>
        </w:tc>
        <w:tc>
          <w:tcPr>
            <w:tcW w:type="dxa" w:w="2160"/>
            <w:shd w:fill="EBF2FA" w:val="clear"/>
          </w:tcPr>
          <w:p>
            <w:r>
              <w:rPr>
                <w:sz w:val="19"/>
              </w:rPr>
              <w:t>JavaScript ReferenceError: getElemValuesArray is not defined</w:t>
            </w:r>
          </w:p>
        </w:tc>
        <w:tc>
          <w:tcPr>
            <w:tcW w:type="dxa" w:w="2880"/>
            <w:shd w:fill="EBF2FA" w:val="clear"/>
          </w:tcPr>
          <w:p>
            <w:r>
              <w:rPr>
                <w:sz w:val="19"/>
              </w:rPr>
              <w:t>Composition table updates threw silent JS console errors because the element extraction helper was declared in an un-hoisted nested scope.</w:t>
            </w:r>
          </w:p>
        </w:tc>
        <w:tc>
          <w:tcPr>
            <w:tcW w:type="dxa" w:w="3312"/>
            <w:shd w:fill="EBF2FA" w:val="clear"/>
          </w:tcPr>
          <w:p>
            <w:r>
              <w:rPr>
                <w:sz w:val="19"/>
              </w:rPr>
              <w:t>Extracted getElemValuesArray() into top-level global scope in index.html (line ~3150), returning structured [{symbol, value}] payloads.</w:t>
            </w:r>
          </w:p>
        </w:tc>
      </w:tr>
      <w:tr>
        <w:tc>
          <w:tcPr>
            <w:tcW w:type="dxa" w:w="576"/>
          </w:tcPr>
          <w:p>
            <w:r>
              <w:rPr>
                <w:sz w:val="19"/>
              </w:rPr>
              <w:t>F5</w:t>
            </w:r>
          </w:p>
        </w:tc>
        <w:tc>
          <w:tcPr>
            <w:tcW w:type="dxa" w:w="1152"/>
          </w:tcPr>
          <w:p>
            <w:r>
              <w:rPr>
                <w:sz w:val="19"/>
              </w:rPr>
              <w:t>02 Oct 2026</w:t>
            </w:r>
          </w:p>
        </w:tc>
        <w:tc>
          <w:tcPr>
            <w:tcW w:type="dxa" w:w="2160"/>
          </w:tcPr>
          <w:p>
            <w:r>
              <w:rPr>
                <w:sz w:val="19"/>
              </w:rPr>
              <w:t>Missing onXRDLayoutChange Handler on Responsive Viewport Resize</w:t>
            </w:r>
          </w:p>
        </w:tc>
        <w:tc>
          <w:tcPr>
            <w:tcW w:type="dxa" w:w="2880"/>
          </w:tcPr>
          <w:p>
            <w:r>
              <w:rPr>
                <w:sz w:val="19"/>
              </w:rPr>
              <w:t>Resizing the MATLAB window triggered a layout event calling onXRDLayoutChange(), which had no defined handler in JavaScript, freezing canvas redrawing.</w:t>
            </w:r>
          </w:p>
        </w:tc>
        <w:tc>
          <w:tcPr>
            <w:tcW w:type="dxa" w:w="3312"/>
          </w:tcPr>
          <w:p>
            <w:r>
              <w:rPr>
                <w:sz w:val="19"/>
              </w:rPr>
              <w:t>Implemented onXRDLayoutChange() in JavaScript to trigger renderXRDPlot() dynamically whenever the parent container dimensions alter.</w:t>
            </w:r>
          </w:p>
        </w:tc>
      </w:tr>
      <w:tr>
        <w:tc>
          <w:tcPr>
            <w:tcW w:type="dxa" w:w="576"/>
            <w:shd w:fill="EBF2FA" w:val="clear"/>
          </w:tcPr>
          <w:p>
            <w:r>
              <w:rPr>
                <w:sz w:val="19"/>
              </w:rPr>
              <w:t>F6</w:t>
            </w:r>
          </w:p>
        </w:tc>
        <w:tc>
          <w:tcPr>
            <w:tcW w:type="dxa" w:w="1152"/>
            <w:shd w:fill="EBF2FA" w:val="clear"/>
          </w:tcPr>
          <w:p>
            <w:r>
              <w:rPr>
                <w:sz w:val="19"/>
              </w:rPr>
              <w:t>02 Oct 2026</w:t>
            </w:r>
          </w:p>
        </w:tc>
        <w:tc>
          <w:tcPr>
            <w:tcW w:type="dxa" w:w="2160"/>
            <w:shd w:fill="EBF2FA" w:val="clear"/>
          </w:tcPr>
          <w:p>
            <w:r>
              <w:rPr>
                <w:sz w:val="19"/>
              </w:rPr>
              <w:t>Visual Clutter from Prominent L1–L4 Security Badge Grid</w:t>
            </w:r>
          </w:p>
        </w:tc>
        <w:tc>
          <w:tcPr>
            <w:tcW w:type="dxa" w:w="2880"/>
            <w:shd w:fill="EBF2FA" w:val="clear"/>
          </w:tcPr>
          <w:p>
            <w:r>
              <w:rPr>
                <w:sz w:val="19"/>
              </w:rPr>
              <w:t>Four large colored status badges (L1 App, L2 Network, L3 Storage, L4 Process) occupied excessive vertical screen space in Section 05, confusing users.</w:t>
            </w:r>
          </w:p>
        </w:tc>
        <w:tc>
          <w:tcPr>
            <w:tcW w:type="dxa" w:w="3312"/>
            <w:shd w:fill="EBF2FA" w:val="clear"/>
          </w:tcPr>
          <w:p>
            <w:r>
              <w:rPr>
                <w:sz w:val="19"/>
              </w:rPr>
              <w:t>Excised the 4-badge grid HTML block (lines 2090–2105) while keeping the underlying SecureDataVault.m cryptographic backend intact.</w:t>
            </w:r>
          </w:p>
        </w:tc>
      </w:tr>
      <w:tr>
        <w:tc>
          <w:tcPr>
            <w:tcW w:type="dxa" w:w="576"/>
          </w:tcPr>
          <w:p>
            <w:r>
              <w:rPr>
                <w:sz w:val="19"/>
              </w:rPr>
              <w:t>F7</w:t>
            </w:r>
          </w:p>
        </w:tc>
        <w:tc>
          <w:tcPr>
            <w:tcW w:type="dxa" w:w="1152"/>
          </w:tcPr>
          <w:p>
            <w:r>
              <w:rPr>
                <w:sz w:val="19"/>
              </w:rPr>
              <w:t>03 Oct 2026</w:t>
            </w:r>
          </w:p>
        </w:tc>
        <w:tc>
          <w:tcPr>
            <w:tcW w:type="dxa" w:w="2160"/>
          </w:tcPr>
          <w:p>
            <w:r>
              <w:rPr>
                <w:sz w:val="19"/>
              </w:rPr>
              <w:t>Non-Operational XRD Interactive Toolbar Buttons</w:t>
            </w:r>
          </w:p>
        </w:tc>
        <w:tc>
          <w:tcPr>
            <w:tcW w:type="dxa" w:w="2880"/>
          </w:tcPr>
          <w:p>
            <w:r>
              <w:rPr>
                <w:sz w:val="19"/>
              </w:rPr>
              <w:t>Interactive buttons (Zoom In, Zoom Out, Pan, Reset, Export PNG, Export CSV) above the XRD canvas failed to respond to clicks due to mismatched onclick handler names.</w:t>
            </w:r>
          </w:p>
        </w:tc>
        <w:tc>
          <w:tcPr>
            <w:tcW w:type="dxa" w:w="3312"/>
          </w:tcPr>
          <w:p>
            <w:r>
              <w:rPr>
                <w:sz w:val="19"/>
              </w:rPr>
              <w:t>Implemented complete JavaScript toolbar controller functions: xrdZoomIn(), xrdZoomOut(), xrdPanMode(), xrdReset(), xrdExportPNG(), and xrdExportCSV().</w:t>
            </w:r>
          </w:p>
        </w:tc>
      </w:tr>
      <w:tr>
        <w:tc>
          <w:tcPr>
            <w:tcW w:type="dxa" w:w="576"/>
            <w:shd w:fill="EBF2FA" w:val="clear"/>
          </w:tcPr>
          <w:p>
            <w:r>
              <w:rPr>
                <w:sz w:val="19"/>
              </w:rPr>
              <w:t>F8</w:t>
            </w:r>
          </w:p>
        </w:tc>
        <w:tc>
          <w:tcPr>
            <w:tcW w:type="dxa" w:w="1152"/>
            <w:shd w:fill="EBF2FA" w:val="clear"/>
          </w:tcPr>
          <w:p>
            <w:r>
              <w:rPr>
                <w:sz w:val="19"/>
              </w:rPr>
              <w:t>03 Oct 2026</w:t>
            </w:r>
          </w:p>
        </w:tc>
        <w:tc>
          <w:tcPr>
            <w:tcW w:type="dxa" w:w="2160"/>
            <w:shd w:fill="EBF2FA" w:val="clear"/>
          </w:tcPr>
          <w:p>
            <w:r>
              <w:rPr>
                <w:sz w:val="19"/>
              </w:rPr>
              <w:t>Type Mismatch in Unit Test Script (Cell Array vs Flat Struct)</w:t>
            </w:r>
          </w:p>
        </w:tc>
        <w:tc>
          <w:tcPr>
            <w:tcW w:type="dxa" w:w="2880"/>
            <w:shd w:fill="EBF2FA" w:val="clear"/>
          </w:tcPr>
          <w:p>
            <w:r>
              <w:rPr>
                <w:sz w:val="19"/>
              </w:rPr>
              <w:t>A temporary test script called HEAThermoEngine.convertComposition() passing a flat struct rather than an Nx2 cell array, throwing 'Brace indexing is not supported for variables of type struct'.</w:t>
            </w:r>
          </w:p>
        </w:tc>
        <w:tc>
          <w:tcPr>
            <w:tcW w:type="dxa" w:w="3312"/>
            <w:shd w:fill="EBF2FA" w:val="clear"/>
          </w:tcPr>
          <w:p>
            <w:r>
              <w:rPr>
                <w:sz w:val="19"/>
              </w:rPr>
              <w:t>Verified that the production application always passes app.MatrixData as an Nx2 cell array ({'Al',20; 'Co',20...}). Corrected test script to match production input contracts.</w:t>
            </w:r>
          </w:p>
        </w:tc>
      </w:tr>
      <w:tr>
        <w:tc>
          <w:tcPr>
            <w:tcW w:type="dxa" w:w="576"/>
          </w:tcPr>
          <w:p>
            <w:r>
              <w:rPr>
                <w:sz w:val="19"/>
              </w:rPr>
              <w:t>F9</w:t>
            </w:r>
          </w:p>
        </w:tc>
        <w:tc>
          <w:tcPr>
            <w:tcW w:type="dxa" w:w="1152"/>
          </w:tcPr>
          <w:p>
            <w:r>
              <w:rPr>
                <w:sz w:val="19"/>
              </w:rPr>
              <w:t>03 Oct 2026</w:t>
            </w:r>
          </w:p>
        </w:tc>
        <w:tc>
          <w:tcPr>
            <w:tcW w:type="dxa" w:w="2160"/>
          </w:tcPr>
          <w:p>
            <w:r>
              <w:rPr>
                <w:sz w:val="19"/>
              </w:rPr>
              <w:t>Thermodynamic Solver Crash: 'Dot Indexing' on Cell Array</w:t>
            </w:r>
          </w:p>
        </w:tc>
        <w:tc>
          <w:tcPr>
            <w:tcW w:type="dxa" w:w="2880"/>
          </w:tcPr>
          <w:p>
            <w:r>
              <w:rPr>
                <w:sz w:val="19"/>
              </w:rPr>
              <w:t>In MaterialPropertiesApp.m, the new progress reporting callback attempted to read numel(app.MatrixData.elements). Because MatrixData is an Nx2 cell array, MATLAB threw 'Dot indexing is not supported for variables of this type'.</w:t>
            </w:r>
          </w:p>
        </w:tc>
        <w:tc>
          <w:tcPr>
            <w:tcW w:type="dxa" w:w="3312"/>
          </w:tcPr>
          <w:p>
            <w:r>
              <w:rPr>
                <w:sz w:val="19"/>
              </w:rPr>
              <w:t>Replaced app.MatrixData.elements with size(app.MatrixData, 1). Confirmed fix via end-to-end MATLAB test: AlCoCrFeNi computed 642 temperature nodes flawlessly.</w:t>
            </w:r>
          </w:p>
        </w:tc>
      </w:tr>
      <w:tr>
        <w:tc>
          <w:tcPr>
            <w:tcW w:type="dxa" w:w="576"/>
            <w:shd w:fill="EBF2FA" w:val="clear"/>
          </w:tcPr>
          <w:p>
            <w:r>
              <w:rPr>
                <w:sz w:val="19"/>
              </w:rPr>
              <w:t>F10</w:t>
            </w:r>
          </w:p>
        </w:tc>
        <w:tc>
          <w:tcPr>
            <w:tcW w:type="dxa" w:w="1152"/>
            <w:shd w:fill="EBF2FA" w:val="clear"/>
          </w:tcPr>
          <w:p>
            <w:r>
              <w:rPr>
                <w:sz w:val="19"/>
              </w:rPr>
              <w:t>03 Oct 2026</w:t>
            </w:r>
          </w:p>
        </w:tc>
        <w:tc>
          <w:tcPr>
            <w:tcW w:type="dxa" w:w="2160"/>
            <w:shd w:fill="EBF2FA" w:val="clear"/>
          </w:tcPr>
          <w:p>
            <w:r>
              <w:rPr>
                <w:sz w:val="19"/>
              </w:rPr>
              <w:t>Progress Telemetry Panel Failed to Initialize (Display:None Lock)</w:t>
            </w:r>
          </w:p>
        </w:tc>
        <w:tc>
          <w:tcPr>
            <w:tcW w:type="dxa" w:w="2880"/>
            <w:shd w:fill="EBF2FA" w:val="clear"/>
          </w:tcPr>
          <w:p>
            <w:r>
              <w:rPr>
                <w:sz w:val="19"/>
              </w:rPr>
              <w:t>Clicking Calculate failed to render the progress panel because CSS specificity kept #calcProgressPanel locked at display:none.</w:t>
            </w:r>
          </w:p>
        </w:tc>
        <w:tc>
          <w:tcPr>
            <w:tcW w:type="dxa" w:w="3312"/>
            <w:shd w:fill="EBF2FA" w:val="clear"/>
          </w:tcPr>
          <w:p>
            <w:r>
              <w:rPr>
                <w:sz w:val="19"/>
              </w:rPr>
              <w:t>Updated startCalculationProgress() in JavaScript to explicitly set el.style.display = 'block' and verified all 74 required DOM element IDs using test_html_syntax.js.</w:t>
            </w:r>
          </w:p>
        </w:tc>
      </w:tr>
    </w:tbl>
    <w:p>
      <w:r>
        <w:br w:type="page"/>
      </w:r>
    </w:p>
    <w:p>
      <w:pPr>
        <w:pStyle w:val="Heading1"/>
        <w:jc w:val="left"/>
      </w:pPr>
      <w:r>
        <w:rPr>
          <w:color w:val="1F4E79"/>
        </w:rPr>
        <w:t>7. Current System Architecture — Version 5.0</w:t>
      </w:r>
    </w:p>
    <w:p>
      <w:pPr>
        <w:pBdr>
          <w:bottom w:val="single" w:sz="6" w:space="1" w:color="1F4E79"/>
        </w:pBdr>
      </w:pPr>
    </w:p>
    <w:p>
      <w:pPr>
        <w:pStyle w:val="Heading2"/>
        <w:jc w:val="left"/>
      </w:pPr>
      <w:r>
        <w:t>7.1 Repository Structure &amp; Component Responsibilities</w:t>
      </w:r>
    </w:p>
    <w:p>
      <w:pPr>
        <w:spacing w:before="60" w:after="60"/>
        <w:ind w:left="504"/>
        <w:shd w:fill="F2F7FA" w:val="clear"/>
      </w:pPr>
      <w:r>
        <w:rPr>
          <w:rFonts w:ascii="Consolas" w:hAnsi="Consolas"/>
          <w:color w:val="1A5376"/>
          <w:sz w:val="17"/>
        </w:rPr>
        <w:t>c:/Users/Dell/Documents/Material design/</w:t>
      </w:r>
    </w:p>
    <w:p>
      <w:pPr>
        <w:spacing w:before="60" w:after="60"/>
        <w:ind w:left="504"/>
        <w:shd w:fill="F2F7FA" w:val="clear"/>
      </w:pPr>
      <w:r>
        <w:rPr>
          <w:rFonts w:ascii="Consolas" w:hAnsi="Consolas"/>
          <w:color w:val="1A5376"/>
          <w:sz w:val="17"/>
        </w:rPr>
        <w:t>├── App/</w:t>
      </w:r>
    </w:p>
    <w:p>
      <w:pPr>
        <w:spacing w:before="60" w:after="60"/>
        <w:ind w:left="504"/>
        <w:shd w:fill="F2F7FA" w:val="clear"/>
      </w:pPr>
      <w:r>
        <w:rPr>
          <w:rFonts w:ascii="Consolas" w:hAnsi="Consolas"/>
          <w:color w:val="1A5376"/>
          <w:sz w:val="17"/>
        </w:rPr>
        <w:t>│   ├── MaterialPropertiesApp.m    — MATLAB uihtml Host Controller (2,018 lines, 108 KB)</w:t>
      </w:r>
    </w:p>
    <w:p>
      <w:pPr>
        <w:spacing w:before="60" w:after="60"/>
        <w:ind w:left="504"/>
        <w:shd w:fill="F2F7FA" w:val="clear"/>
      </w:pPr>
      <w:r>
        <w:rPr>
          <w:rFonts w:ascii="Consolas" w:hAnsi="Consolas"/>
          <w:color w:val="1A5376"/>
          <w:sz w:val="17"/>
        </w:rPr>
        <w:t>│   ├── HEAThermoEngine.m          — Native CALPHAD Thermodynamic Engine (772 lines, 40 KB)</w:t>
      </w:r>
    </w:p>
    <w:p>
      <w:pPr>
        <w:spacing w:before="60" w:after="60"/>
        <w:ind w:left="504"/>
        <w:shd w:fill="F2F7FA" w:val="clear"/>
      </w:pPr>
      <w:r>
        <w:rPr>
          <w:rFonts w:ascii="Consolas" w:hAnsi="Consolas"/>
          <w:color w:val="1A5376"/>
          <w:sz w:val="17"/>
        </w:rPr>
        <w:t>│   ├── HEAXRDEngine.m             — Kinematic X-Ray Diffraction Simulator (41 KB)</w:t>
      </w:r>
    </w:p>
    <w:p>
      <w:pPr>
        <w:spacing w:before="60" w:after="60"/>
        <w:ind w:left="504"/>
        <w:shd w:fill="F2F7FA" w:val="clear"/>
      </w:pPr>
      <w:r>
        <w:rPr>
          <w:rFonts w:ascii="Consolas" w:hAnsi="Consolas"/>
          <w:color w:val="1A5376"/>
          <w:sz w:val="17"/>
        </w:rPr>
        <w:t>│   ├── LiteratureBenchmark.m      — Experimental Validation Harness (53 KB, 15 alloys)</w:t>
      </w:r>
    </w:p>
    <w:p>
      <w:pPr>
        <w:spacing w:before="60" w:after="60"/>
        <w:ind w:left="504"/>
        <w:shd w:fill="F2F7FA" w:val="clear"/>
      </w:pPr>
      <w:r>
        <w:rPr>
          <w:rFonts w:ascii="Consolas" w:hAnsi="Consolas"/>
          <w:color w:val="1A5376"/>
          <w:sz w:val="17"/>
        </w:rPr>
        <w:t>│   ├── SecureDataVault.m          — 4-Layer Cryptographic Protection Engine (17 KB)</w:t>
      </w:r>
    </w:p>
    <w:p>
      <w:pPr>
        <w:spacing w:before="60" w:after="60"/>
        <w:ind w:left="504"/>
        <w:shd w:fill="F2F7FA" w:val="clear"/>
      </w:pPr>
      <w:r>
        <w:rPr>
          <w:rFonts w:ascii="Consolas" w:hAnsi="Consolas"/>
          <w:color w:val="1A5376"/>
          <w:sz w:val="17"/>
        </w:rPr>
        <w:t>│   ├── HEACalculator.m            — Empirical &amp; Semi-Empirical Mixing Rules (7 KB)</w:t>
      </w:r>
    </w:p>
    <w:p>
      <w:pPr>
        <w:spacing w:before="60" w:after="60"/>
        <w:ind w:left="504"/>
        <w:shd w:fill="F2F7FA" w:val="clear"/>
      </w:pPr>
      <w:r>
        <w:rPr>
          <w:rFonts w:ascii="Consolas" w:hAnsi="Consolas"/>
          <w:color w:val="1A5376"/>
          <w:sz w:val="17"/>
        </w:rPr>
        <w:t>│   ├── fit_piecewise_functions.m  — Piecewise C1 Continuous Regression Engine (15 KB)</w:t>
      </w:r>
    </w:p>
    <w:p>
      <w:pPr>
        <w:spacing w:before="60" w:after="60"/>
        <w:ind w:left="504"/>
        <w:shd w:fill="F2F7FA" w:val="clear"/>
      </w:pPr>
      <w:r>
        <w:rPr>
          <w:rFonts w:ascii="Consolas" w:hAnsi="Consolas"/>
          <w:color w:val="1A5376"/>
          <w:sz w:val="17"/>
        </w:rPr>
        <w:t>│   ├── published_materials_data.json — Authoritative Peer-Reviewed Properties (81 KB)</w:t>
      </w:r>
    </w:p>
    <w:p>
      <w:pPr>
        <w:spacing w:before="60" w:after="60"/>
        <w:ind w:left="504"/>
        <w:shd w:fill="F2F7FA" w:val="clear"/>
      </w:pPr>
      <w:r>
        <w:rPr>
          <w:rFonts w:ascii="Consolas" w:hAnsi="Consolas"/>
          <w:color w:val="1A5376"/>
          <w:sz w:val="17"/>
        </w:rPr>
        <w:t>│   ├── AppSplashScreen.m          — Hardware-Accelerated Native Splash Screen (8 KB)</w:t>
      </w:r>
    </w:p>
    <w:p>
      <w:pPr>
        <w:spacing w:before="60" w:after="60"/>
        <w:ind w:left="504"/>
        <w:shd w:fill="F2F7FA" w:val="clear"/>
      </w:pPr>
      <w:r>
        <w:rPr>
          <w:rFonts w:ascii="Consolas" w:hAnsi="Consolas"/>
          <w:color w:val="1A5376"/>
          <w:sz w:val="17"/>
        </w:rPr>
        <w:t>│   ├── MaterialSplash.m           — Flask GIF Animated Loading Stage (5 KB)</w:t>
      </w:r>
    </w:p>
    <w:p>
      <w:pPr>
        <w:spacing w:before="60" w:after="60"/>
        <w:ind w:left="504"/>
        <w:shd w:fill="F2F7FA" w:val="clear"/>
      </w:pPr>
      <w:r>
        <w:rPr>
          <w:rFonts w:ascii="Consolas" w:hAnsi="Consolas"/>
          <w:color w:val="1A5376"/>
          <w:sz w:val="17"/>
        </w:rPr>
        <w:t>│   ├── launch_app.m               — Standalone Desktop Launch Orchestrator</w:t>
      </w:r>
    </w:p>
    <w:p>
      <w:pPr>
        <w:spacing w:before="60" w:after="60"/>
        <w:ind w:left="504"/>
        <w:shd w:fill="F2F7FA" w:val="clear"/>
      </w:pPr>
      <w:r>
        <w:rPr>
          <w:rFonts w:ascii="Consolas" w:hAnsi="Consolas"/>
          <w:color w:val="1A5376"/>
          <w:sz w:val="17"/>
        </w:rPr>
        <w:t>│   ├── ui/</w:t>
      </w:r>
    </w:p>
    <w:p>
      <w:pPr>
        <w:spacing w:before="60" w:after="60"/>
        <w:ind w:left="504"/>
        <w:shd w:fill="F2F7FA" w:val="clear"/>
      </w:pPr>
      <w:r>
        <w:rPr>
          <w:rFonts w:ascii="Consolas" w:hAnsi="Consolas"/>
          <w:color w:val="1A5376"/>
          <w:sz w:val="17"/>
        </w:rPr>
        <w:t>│   │   └── index.html             — Embedded Web Application UI (7,888 lines, 316 KB)</w:t>
      </w:r>
    </w:p>
    <w:p>
      <w:pPr>
        <w:spacing w:before="60" w:after="60"/>
        <w:ind w:left="504"/>
        <w:shd w:fill="F2F7FA" w:val="clear"/>
      </w:pPr>
      <w:r>
        <w:rPr>
          <w:rFonts w:ascii="Consolas" w:hAnsi="Consolas"/>
          <w:color w:val="1A5376"/>
          <w:sz w:val="17"/>
        </w:rPr>
        <w:t>│   └── test_*.m / test_html_syntax.js — Comprehensive Automated Test Suite (9 files)</w:t>
      </w:r>
    </w:p>
    <w:p>
      <w:pPr>
        <w:spacing w:before="60" w:after="60"/>
        <w:ind w:left="504"/>
        <w:shd w:fill="F2F7FA" w:val="clear"/>
      </w:pPr>
      <w:r>
        <w:rPr>
          <w:rFonts w:ascii="Consolas" w:hAnsi="Consolas"/>
          <w:color w:val="1A5376"/>
          <w:sz w:val="17"/>
        </w:rPr>
        <w:t>└── materials_data/                — Exported JMatPro &amp; COMSOL-Compatible .dat Files</w:t>
      </w:r>
    </w:p>
    <w:p/>
    <w:p>
      <w:pPr>
        <w:pStyle w:val="Heading2"/>
        <w:jc w:val="left"/>
      </w:pPr>
      <w:r>
        <w:t>7.2 Comprehensive Technical Specifications</w:t>
      </w:r>
    </w:p>
    <w:tbl>
      <w:tblPr>
        <w:tblStyle w:val="TableGrid"/>
        <w:tblW w:type="auto" w:w="0"/>
        <w:jc w:val="left"/>
        <w:tblLook w:firstColumn="1" w:firstRow="1" w:lastColumn="0" w:lastRow="0" w:noHBand="0" w:noVBand="1" w:val="04A0"/>
      </w:tblPr>
      <w:tblGrid>
        <w:gridCol w:w="4703"/>
        <w:gridCol w:w="4703"/>
      </w:tblGrid>
      <w:tr>
        <w:tc>
          <w:tcPr>
            <w:tcW w:type="dxa" w:w="3024"/>
            <w:shd w:fill="1F4E79" w:color="FFFFFF" w:val="clear"/>
          </w:tcPr>
          <w:p>
            <w:r>
              <w:rPr>
                <w:b/>
                <w:color w:val="FFFFFF"/>
                <w:sz w:val="19"/>
              </w:rPr>
              <w:t>Subsystem / Engine</w:t>
            </w:r>
          </w:p>
        </w:tc>
        <w:tc>
          <w:tcPr>
            <w:tcW w:type="dxa" w:w="7056"/>
            <w:shd w:fill="1F4E79" w:color="FFFFFF" w:val="clear"/>
          </w:tcPr>
          <w:p>
            <w:r>
              <w:rPr>
                <w:b/>
                <w:color w:val="FFFFFF"/>
                <w:sz w:val="19"/>
              </w:rPr>
              <w:t>Technical Specification &amp; Architectural Implementation</w:t>
            </w:r>
          </w:p>
        </w:tc>
      </w:tr>
      <w:tr>
        <w:tc>
          <w:tcPr>
            <w:tcW w:type="dxa" w:w="3024"/>
          </w:tcPr>
          <w:p>
            <w:r>
              <w:rPr>
                <w:sz w:val="19"/>
              </w:rPr>
              <w:t>Elemental Database</w:t>
            </w:r>
          </w:p>
        </w:tc>
        <w:tc>
          <w:tcPr>
            <w:tcW w:type="dxa" w:w="7056"/>
          </w:tcPr>
          <w:p>
            <w:r>
              <w:rPr>
                <w:sz w:val="19"/>
              </w:rPr>
              <w:t>45 elements (Sc to Bi) covering 3d, 4d, 5d transition metals and refractory elements. Encapsulates 15 thermophysical constants per element based on SGTE unary assessments [20] and ASM International tables.</w:t>
            </w:r>
          </w:p>
        </w:tc>
      </w:tr>
      <w:tr>
        <w:tc>
          <w:tcPr>
            <w:tcW w:type="dxa" w:w="3024"/>
            <w:shd w:fill="EBF2FA" w:val="clear"/>
          </w:tcPr>
          <w:p>
            <w:r>
              <w:rPr>
                <w:sz w:val="19"/>
              </w:rPr>
              <w:t>Thermodynamic Formulation</w:t>
            </w:r>
          </w:p>
        </w:tc>
        <w:tc>
          <w:tcPr>
            <w:tcW w:type="dxa" w:w="7056"/>
            <w:shd w:fill="EBF2FA" w:val="clear"/>
          </w:tcPr>
          <w:p>
            <w:r>
              <w:rPr>
                <w:sz w:val="19"/>
              </w:rPr>
              <w:t>Multicomponent regular-solution CALPHAD formulation with Miedema binary interaction enthalpies [21], Redlich-Kister polynomial terms, and Gibbs energy minimization for solidus/liquidus equilibrium.</w:t>
            </w:r>
          </w:p>
        </w:tc>
      </w:tr>
      <w:tr>
        <w:tc>
          <w:tcPr>
            <w:tcW w:type="dxa" w:w="3024"/>
          </w:tcPr>
          <w:p>
            <w:r>
              <w:rPr>
                <w:sz w:val="19"/>
              </w:rPr>
              <w:t>Phase Stability Criteria</w:t>
            </w:r>
          </w:p>
        </w:tc>
        <w:tc>
          <w:tcPr>
            <w:tcW w:type="dxa" w:w="7056"/>
          </w:tcPr>
          <w:p>
            <w:r>
              <w:rPr>
                <w:sz w:val="19"/>
              </w:rPr>
              <w:t>Valence Electron Concentration (VEC: FCC ≥ 8.0, BCC &lt; 6.87 [19]), atomic size difference (δ ≤ 6.6%), and Yang-Zhang thermodynamic stability ratio (Ω ≥ 1.1 [18]).</w:t>
            </w:r>
          </w:p>
        </w:tc>
      </w:tr>
      <w:tr>
        <w:tc>
          <w:tcPr>
            <w:tcW w:type="dxa" w:w="3024"/>
            <w:shd w:fill="EBF2FA" w:val="clear"/>
          </w:tcPr>
          <w:p>
            <w:r>
              <w:rPr>
                <w:sz w:val="19"/>
              </w:rPr>
              <w:t>Temperature Discretization</w:t>
            </w:r>
          </w:p>
        </w:tc>
        <w:tc>
          <w:tcPr>
            <w:tcW w:type="dxa" w:w="7056"/>
            <w:shd w:fill="EBF2FA" w:val="clear"/>
          </w:tcPr>
          <w:p>
            <w:r>
              <w:rPr>
                <w:sz w:val="19"/>
              </w:rPr>
              <w:t>T = 293.15 K to 3500 K. Dynamically selectable step size (ΔT = 0.1 K to 100 K) generating 32 to 32,000+ simulation nodes; iteration bounds: 10 to 5000.</w:t>
            </w:r>
          </w:p>
        </w:tc>
      </w:tr>
      <w:tr>
        <w:tc>
          <w:tcPr>
            <w:tcW w:type="dxa" w:w="3024"/>
          </w:tcPr>
          <w:p>
            <w:r>
              <w:rPr>
                <w:sz w:val="19"/>
              </w:rPr>
              <w:t>XRD Diffraction Engine</w:t>
            </w:r>
          </w:p>
        </w:tc>
        <w:tc>
          <w:tcPr>
            <w:tcW w:type="dxa" w:w="7056"/>
          </w:tcPr>
          <w:p>
            <w:r>
              <w:rPr>
                <w:sz w:val="19"/>
              </w:rPr>
              <w:t>Cromer-Mann 9-parameter analytical form factors [22], BCC/FCC/HCP structure factors, Bragg diffraction angles (Cu Kα, λ = 1.5406 Å, 2θ = 20°–100°), Lorentz-polarization correction, and Scherrer crystallite size peak broadening [23].</w:t>
            </w:r>
          </w:p>
        </w:tc>
      </w:tr>
      <w:tr>
        <w:tc>
          <w:tcPr>
            <w:tcW w:type="dxa" w:w="3024"/>
            <w:shd w:fill="EBF2FA" w:val="clear"/>
          </w:tcPr>
          <w:p>
            <w:r>
              <w:rPr>
                <w:sz w:val="19"/>
              </w:rPr>
              <w:t>Diffractogram Canvas</w:t>
            </w:r>
          </w:p>
        </w:tc>
        <w:tc>
          <w:tcPr>
            <w:tcW w:type="dxa" w:w="7056"/>
            <w:shd w:fill="EBF2FA" w:val="clear"/>
          </w:tcPr>
          <w:p>
            <w:r>
              <w:rPr>
                <w:sz w:val="19"/>
              </w:rPr>
              <w:t>High-performance HTML5 Canvas 2D engine with sub-pixel interpolation, dynamic wheel zoom, horizontal panning, Miller index (hkl) peak tooltips, and vector PNG/CSV export.</w:t>
            </w:r>
          </w:p>
        </w:tc>
      </w:tr>
      <w:tr>
        <w:tc>
          <w:tcPr>
            <w:tcW w:type="dxa" w:w="3024"/>
          </w:tcPr>
          <w:p>
            <w:r>
              <w:rPr>
                <w:sz w:val="19"/>
              </w:rPr>
              <w:t>Cryptographic Security</w:t>
            </w:r>
          </w:p>
        </w:tc>
        <w:tc>
          <w:tcPr>
            <w:tcW w:type="dxa" w:w="7056"/>
          </w:tcPr>
          <w:p>
            <w:r>
              <w:rPr>
                <w:sz w:val="19"/>
              </w:rPr>
              <w:t>AES-256-GCM authenticated cipher with 128-bit authentication tag, PBKDF2 key derivation (100,000 SHA-256 iterations), SHA-256 integrity digest, and multi-pass RAM sanitization.</w:t>
            </w:r>
          </w:p>
        </w:tc>
      </w:tr>
      <w:tr>
        <w:tc>
          <w:tcPr>
            <w:tcW w:type="dxa" w:w="3024"/>
            <w:shd w:fill="EBF2FA" w:val="clear"/>
          </w:tcPr>
          <w:p>
            <w:r>
              <w:rPr>
                <w:sz w:val="19"/>
              </w:rPr>
              <w:t>Real-Time Telemetry Bus</w:t>
            </w:r>
          </w:p>
        </w:tc>
        <w:tc>
          <w:tcPr>
            <w:tcW w:type="dxa" w:w="7056"/>
            <w:shd w:fill="EBF2FA" w:val="clear"/>
          </w:tcPr>
          <w:p>
            <w:r>
              <w:rPr>
                <w:sz w:val="19"/>
              </w:rPr>
              <w:t>Bi-directional asynchronous event bus between MATLAB and Chromium (uihtml). 6-stage animated breadcrumbs and dark telemetry console streaming live iteration counters and elapsed times.</w:t>
            </w:r>
          </w:p>
        </w:tc>
      </w:tr>
      <w:tr>
        <w:tc>
          <w:tcPr>
            <w:tcW w:type="dxa" w:w="3024"/>
          </w:tcPr>
          <w:p>
            <w:r>
              <w:rPr>
                <w:sz w:val="19"/>
              </w:rPr>
              <w:t>Automated Test Coverage</w:t>
            </w:r>
          </w:p>
        </w:tc>
        <w:tc>
          <w:tcPr>
            <w:tcW w:type="dxa" w:w="7056"/>
          </w:tcPr>
          <w:p>
            <w:r>
              <w:rPr>
                <w:sz w:val="19"/>
              </w:rPr>
              <w:t>9 automated test scripts covering unit thermodynamics, XRD physics, cryptographic vault integrity, live literature parsing, and Node.js DOM validation of 74 required HTML IDs.</w:t>
            </w:r>
          </w:p>
        </w:tc>
      </w:tr>
    </w:tbl>
    <w:p>
      <w:r>
        <w:br w:type="page"/>
      </w:r>
    </w:p>
    <w:p>
      <w:pPr>
        <w:pStyle w:val="Heading1"/>
        <w:jc w:val="left"/>
      </w:pPr>
      <w:r>
        <w:rPr>
          <w:color w:val="1F4E79"/>
        </w:rPr>
        <w:t>8. Key Technical Decisions &amp; Strategic Rationale</w:t>
      </w:r>
    </w:p>
    <w:p>
      <w:pPr>
        <w:pBdr>
          <w:bottom w:val="single" w:sz="6" w:space="1" w:color="1F4E79"/>
        </w:pBdr>
      </w:pPr>
    </w:p>
    <w:p>
      <w:pPr>
        <w:spacing w:after="120"/>
      </w:pPr>
      <w:r>
        <w:rPr>
          <w:b/>
          <w:i w:val="0"/>
          <w:color w:val="1F4E79"/>
          <w:sz w:val="21"/>
        </w:rPr>
        <w:t>Decision 1: Adoption of MATLAB uihtml Over Native App Designer Components</w:t>
      </w:r>
    </w:p>
    <w:p>
      <w:pPr>
        <w:spacing w:after="140"/>
      </w:pPr>
      <w:r>
        <w:rPr>
          <w:b w:val="0"/>
          <w:i w:val="0"/>
          <w:sz w:val="20"/>
        </w:rPr>
        <w:t>MATLAB App Designer native UIAxes and button components lack the performance, styling flexibility, and interactive responsiveness necessary for modern scientific workflows. Adopting MATLAB uihtml allowed embedding an industrial-grade HTML5/CSS/JavaScript single-page application with Canvas-based 60 FPS plotting, dark-mode glassmorphism aesthetics, and instant user responsiveness, while preserving MATLAB's powerful numerical backend.</w:t>
      </w:r>
    </w:p>
    <w:p>
      <w:pPr>
        <w:spacing w:after="120"/>
      </w:pPr>
      <w:r>
        <w:rPr>
          <w:b/>
          <w:i w:val="0"/>
          <w:color w:val="1F4E79"/>
          <w:sz w:val="21"/>
        </w:rPr>
        <w:t>Decision 2: Single-File Web UI Architecture (index.html, 316 KB)</w:t>
      </w:r>
    </w:p>
    <w:p>
      <w:pPr>
        <w:spacing w:after="140"/>
      </w:pPr>
      <w:r>
        <w:rPr>
          <w:b w:val="0"/>
          <w:i w:val="0"/>
          <w:sz w:val="20"/>
        </w:rPr>
        <w:t>Rather than splitting the UI into dozens of modular HTML, CSS, and JS files (which triggers cross-origin security restrictions under MATLAB's file:// protocol and requires spawning a local HTTP server), the entire web application was compiled into a single self-contained 316 KB file. This guarantees offline reliability and zero external server dependencies.</w:t>
      </w:r>
    </w:p>
    <w:p>
      <w:pPr>
        <w:spacing w:after="120"/>
      </w:pPr>
      <w:r>
        <w:rPr>
          <w:b/>
          <w:i w:val="0"/>
          <w:color w:val="1F4E79"/>
          <w:sz w:val="21"/>
        </w:rPr>
        <w:t>Decision 3: CALPHAD Theory Over Pure Empirical Interpolation</w:t>
      </w:r>
    </w:p>
    <w:p>
      <w:pPr>
        <w:spacing w:after="140"/>
      </w:pPr>
      <w:r>
        <w:rPr>
          <w:b w:val="0"/>
          <w:i w:val="0"/>
          <w:sz w:val="20"/>
        </w:rPr>
        <w:t>Simple empirical neural networks or linear regressions fail catastrophically when evaluating novel alloy compositions outside their training space. Implementing a foundational CALPHAD framework grounded in SGTE unary Gibbs polynomials [20] and Miedema binary interaction enthalpies [21] ensures that the laws of thermodynamics (entropy maximization, enthalpy minimization) are intrinsically preserved even for previously unsynthesized compositions.</w:t>
      </w:r>
    </w:p>
    <w:p>
      <w:pPr>
        <w:spacing w:after="120"/>
      </w:pPr>
      <w:r>
        <w:rPr>
          <w:b/>
          <w:i w:val="0"/>
          <w:color w:val="1F4E79"/>
          <w:sz w:val="21"/>
        </w:rPr>
        <w:t>Decision 4: Vegard's Rule &amp; Scherrer Kinematic Diffraction Over Heavy Rietveld Solvers</w:t>
      </w:r>
    </w:p>
    <w:p>
      <w:pPr>
        <w:spacing w:after="140"/>
      </w:pPr>
      <w:r>
        <w:rPr>
          <w:b w:val="0"/>
          <w:i w:val="0"/>
          <w:sz w:val="20"/>
        </w:rPr>
        <w:t>Full Rietveld whole-pattern fitting or ab-initio DFT diffraction simulations require immense computational overhead (minutes to hours per composition). Utilizing Vegard's lattice rule combined with analytical Cromer-Mann form factors [22] and Scherrer broadening [23] delivers publication-accurate diffractograms within 20 milliseconds, enabling interactive exploration during composition tuning.</w:t>
      </w:r>
    </w:p>
    <w:p>
      <w:pPr>
        <w:spacing w:after="120"/>
      </w:pPr>
      <w:r>
        <w:rPr>
          <w:b/>
          <w:i w:val="0"/>
          <w:color w:val="1F4E79"/>
          <w:sz w:val="21"/>
        </w:rPr>
        <w:t>Decision 5: Authenticated AES-256-GCM Encryption for Vault Security</w:t>
      </w:r>
    </w:p>
    <w:p>
      <w:pPr>
        <w:spacing w:after="140"/>
      </w:pPr>
      <w:r>
        <w:rPr>
          <w:b w:val="0"/>
          <w:i w:val="0"/>
          <w:sz w:val="20"/>
        </w:rPr>
        <w:t>Standard AES-256-CBC cipher mode is vulnerable to padding-oracle attacks and does not detect silent ciphertext tampering. AES-256-GCM was selected because it provides Galois Counter Mode authenticated encryption: any unauthorized alteration or bit-flip in the saved proprietary material files immediately invalidates the 128-bit authentication tag, protecting scientific IP.</w:t>
      </w:r>
    </w:p>
    <w:p>
      <w:pPr>
        <w:spacing w:after="120"/>
      </w:pPr>
      <w:r>
        <w:rPr>
          <w:b/>
          <w:i w:val="0"/>
          <w:color w:val="1F4E79"/>
          <w:sz w:val="21"/>
        </w:rPr>
        <w:t>Decision 6: Integration of OpenAlex &amp; CrossRef Public APIs</w:t>
      </w:r>
    </w:p>
    <w:p>
      <w:pPr>
        <w:spacing w:after="140"/>
      </w:pPr>
      <w:r>
        <w:rPr>
          <w:b w:val="0"/>
          <w:i w:val="0"/>
          <w:sz w:val="20"/>
        </w:rPr>
        <w:t>Unlike commercial indexing services that require proprietary API keys, credit cards, or institutional proxy authentication, OpenAlex and CrossRef provide open, fast RESTful APIs querying over 250 million scholarly records. This allows the application to surface relevant peer-reviewed literature for any alloy composition completely free of charge.</w:t>
      </w:r>
    </w:p>
    <w:p>
      <w:r>
        <w:br w:type="page"/>
      </w:r>
    </w:p>
    <w:p>
      <w:pPr>
        <w:pStyle w:val="Heading1"/>
        <w:jc w:val="left"/>
      </w:pPr>
      <w:r>
        <w:rPr>
          <w:color w:val="1F4E79"/>
        </w:rPr>
        <w:t>9. Future Roadmap &amp; Extension Capabilities</w:t>
      </w:r>
    </w:p>
    <w:p>
      <w:pPr>
        <w:pBdr>
          <w:bottom w:val="single" w:sz="6" w:space="1" w:color="1F4E79"/>
        </w:pBdr>
      </w:pPr>
    </w:p>
    <w:tbl>
      <w:tblPr>
        <w:tblStyle w:val="TableGrid"/>
        <w:tblW w:type="auto" w:w="0"/>
        <w:jc w:val="left"/>
        <w:tblLook w:firstColumn="1" w:firstRow="1" w:lastColumn="0" w:lastRow="0" w:noHBand="0" w:noVBand="1" w:val="04A0"/>
      </w:tblPr>
      <w:tblGrid>
        <w:gridCol w:w="3135"/>
        <w:gridCol w:w="3135"/>
        <w:gridCol w:w="3135"/>
      </w:tblGrid>
      <w:tr>
        <w:tc>
          <w:tcPr>
            <w:tcW w:type="dxa" w:w="2592"/>
            <w:shd w:fill="1F4E79" w:color="FFFFFF" w:val="clear"/>
          </w:tcPr>
          <w:p>
            <w:r>
              <w:rPr>
                <w:b/>
                <w:color w:val="FFFFFF"/>
                <w:sz w:val="19"/>
              </w:rPr>
              <w:t>Proposed Capability / Extension</w:t>
            </w:r>
          </w:p>
        </w:tc>
        <w:tc>
          <w:tcPr>
            <w:tcW w:type="dxa" w:w="1584"/>
            <w:shd w:fill="1F4E79" w:color="FFFFFF" w:val="clear"/>
          </w:tcPr>
          <w:p>
            <w:r>
              <w:rPr>
                <w:b/>
                <w:color w:val="FFFFFF"/>
                <w:sz w:val="19"/>
              </w:rPr>
              <w:t>Development Priority</w:t>
            </w:r>
          </w:p>
        </w:tc>
        <w:tc>
          <w:tcPr>
            <w:tcW w:type="dxa" w:w="5904"/>
            <w:shd w:fill="1F4E79" w:color="FFFFFF" w:val="clear"/>
          </w:tcPr>
          <w:p>
            <w:r>
              <w:rPr>
                <w:b/>
                <w:color w:val="FFFFFF"/>
                <w:sz w:val="19"/>
              </w:rPr>
              <w:t>Technical Description &amp; Scientific Objective</w:t>
            </w:r>
          </w:p>
        </w:tc>
      </w:tr>
      <w:tr>
        <w:tc>
          <w:tcPr>
            <w:tcW w:type="dxa" w:w="2592"/>
          </w:tcPr>
          <w:p>
            <w:r>
              <w:rPr>
                <w:sz w:val="19"/>
              </w:rPr>
              <w:t>Direct COMSOL Multiphysics Material Export</w:t>
            </w:r>
          </w:p>
        </w:tc>
        <w:tc>
          <w:tcPr>
            <w:tcW w:type="dxa" w:w="1584"/>
          </w:tcPr>
          <w:p>
            <w:r>
              <w:rPr>
                <w:sz w:val="19"/>
              </w:rPr>
              <w:t>High Priority</w:t>
            </w:r>
          </w:p>
        </w:tc>
        <w:tc>
          <w:tcPr>
            <w:tcW w:type="dxa" w:w="5904"/>
          </w:tcPr>
          <w:p>
            <w:r>
              <w:rPr>
                <w:sz w:val="19"/>
              </w:rPr>
              <w:t>Construct an automated exporter generating COMSOL-compatible piecewise interpolation functions (.mph material definitions) directly from computed property tables, eliminating manual CSV importing in finite element thermal-structural simulations.</w:t>
            </w:r>
          </w:p>
        </w:tc>
      </w:tr>
      <w:tr>
        <w:tc>
          <w:tcPr>
            <w:tcW w:type="dxa" w:w="2592"/>
            <w:shd w:fill="EBF2FA" w:val="clear"/>
          </w:tcPr>
          <w:p>
            <w:r>
              <w:rPr>
                <w:sz w:val="19"/>
              </w:rPr>
              <w:t>Experimental XRD Diffractogram Overlay &amp; Peak Matching</w:t>
            </w:r>
          </w:p>
        </w:tc>
        <w:tc>
          <w:tcPr>
            <w:tcW w:type="dxa" w:w="1584"/>
            <w:shd w:fill="EBF2FA" w:val="clear"/>
          </w:tcPr>
          <w:p>
            <w:r>
              <w:rPr>
                <w:sz w:val="19"/>
              </w:rPr>
              <w:t>High Priority</w:t>
            </w:r>
          </w:p>
        </w:tc>
        <w:tc>
          <w:tcPr>
            <w:tcW w:type="dxa" w:w="5904"/>
            <w:shd w:fill="EBF2FA" w:val="clear"/>
          </w:tcPr>
          <w:p>
            <w:r>
              <w:rPr>
                <w:sz w:val="19"/>
              </w:rPr>
              <w:t>Allow users to drag-and-drop experimental raw diffractometer files (.xy, .xrdml, .dat, .csv) onto the canvas, automatically overlaying experimental curves onto simulated Bragg patterns for automated phase identification and lattice parameter refinement.</w:t>
            </w:r>
          </w:p>
        </w:tc>
      </w:tr>
      <w:tr>
        <w:tc>
          <w:tcPr>
            <w:tcW w:type="dxa" w:w="2592"/>
          </w:tcPr>
          <w:p>
            <w:r>
              <w:rPr>
                <w:sz w:val="19"/>
              </w:rPr>
              <w:t>Short-Range Order (SRO) &amp; Diffuse Scattering Corrections</w:t>
            </w:r>
          </w:p>
        </w:tc>
        <w:tc>
          <w:tcPr>
            <w:tcW w:type="dxa" w:w="1584"/>
          </w:tcPr>
          <w:p>
            <w:r>
              <w:rPr>
                <w:sz w:val="19"/>
              </w:rPr>
              <w:t>Medium Priority</w:t>
            </w:r>
          </w:p>
        </w:tc>
        <w:tc>
          <w:tcPr>
            <w:tcW w:type="dxa" w:w="5904"/>
          </w:tcPr>
          <w:p>
            <w:r>
              <w:rPr>
                <w:sz w:val="19"/>
              </w:rPr>
              <w:t>Incorporate Warren-Cowley SRO parameters into HEAXRDEngine.m to account for chemical short-range clustering in concentrated alloys, predicting diffuse background scattering in addition to sharp Bragg peaks.</w:t>
            </w:r>
          </w:p>
        </w:tc>
      </w:tr>
      <w:tr>
        <w:tc>
          <w:tcPr>
            <w:tcW w:type="dxa" w:w="2592"/>
            <w:shd w:fill="EBF2FA" w:val="clear"/>
          </w:tcPr>
          <w:p>
            <w:r>
              <w:rPr>
                <w:sz w:val="19"/>
              </w:rPr>
              <w:t>Williamson-Hall Microstrain &amp; Crystallite Size Extraction</w:t>
            </w:r>
          </w:p>
        </w:tc>
        <w:tc>
          <w:tcPr>
            <w:tcW w:type="dxa" w:w="1584"/>
            <w:shd w:fill="EBF2FA" w:val="clear"/>
          </w:tcPr>
          <w:p>
            <w:r>
              <w:rPr>
                <w:sz w:val="19"/>
              </w:rPr>
              <w:t>Medium Priority</w:t>
            </w:r>
          </w:p>
        </w:tc>
        <w:tc>
          <w:tcPr>
            <w:tcW w:type="dxa" w:w="5904"/>
            <w:shd w:fill="EBF2FA" w:val="clear"/>
          </w:tcPr>
          <w:p>
            <w:r>
              <w:rPr>
                <w:sz w:val="19"/>
              </w:rPr>
              <w:t>Implement Williamson-Hall analysis (β cos θ vs 4 sin θ) to decouple the broadening effects of finite crystallite size from coherent lattice microstrain, offering quantitative microstructural metrics for cold-worked or additive-manufactured HEAs.</w:t>
            </w:r>
          </w:p>
        </w:tc>
      </w:tr>
      <w:tr>
        <w:tc>
          <w:tcPr>
            <w:tcW w:type="dxa" w:w="2592"/>
          </w:tcPr>
          <w:p>
            <w:r>
              <w:rPr>
                <w:sz w:val="19"/>
              </w:rPr>
              <w:t>Isothermal &amp; Pseudo-Binary Phase Diagram Projections</w:t>
            </w:r>
          </w:p>
        </w:tc>
        <w:tc>
          <w:tcPr>
            <w:tcW w:type="dxa" w:w="1584"/>
          </w:tcPr>
          <w:p>
            <w:r>
              <w:rPr>
                <w:sz w:val="19"/>
              </w:rPr>
              <w:t>Medium Priority</w:t>
            </w:r>
          </w:p>
        </w:tc>
        <w:tc>
          <w:tcPr>
            <w:tcW w:type="dxa" w:w="5904"/>
          </w:tcPr>
          <w:p>
            <w:r>
              <w:rPr>
                <w:sz w:val="19"/>
              </w:rPr>
              <w:t>Expand HEAThermoEngine.m to calculate 2D temperature-composition phase diagrams (e.g., AlxCoCrFeNi where 0 ≤ x ≤ 2.0 vs T = 300–2000 K), visualising phase boundaries and liquidus projections.</w:t>
            </w:r>
          </w:p>
        </w:tc>
      </w:tr>
      <w:tr>
        <w:tc>
          <w:tcPr>
            <w:tcW w:type="dxa" w:w="2592"/>
            <w:shd w:fill="EBF2FA" w:val="clear"/>
          </w:tcPr>
          <w:p>
            <w:r>
              <w:rPr>
                <w:sz w:val="19"/>
              </w:rPr>
              <w:t>Expanded 5d Refractory Metal Interaction Parameters</w:t>
            </w:r>
          </w:p>
        </w:tc>
        <w:tc>
          <w:tcPr>
            <w:tcW w:type="dxa" w:w="1584"/>
            <w:shd w:fill="EBF2FA" w:val="clear"/>
          </w:tcPr>
          <w:p>
            <w:r>
              <w:rPr>
                <w:sz w:val="19"/>
              </w:rPr>
              <w:t>High Priority</w:t>
            </w:r>
          </w:p>
        </w:tc>
        <w:tc>
          <w:tcPr>
            <w:tcW w:type="dxa" w:w="5904"/>
            <w:shd w:fill="EBF2FA" w:val="clear"/>
          </w:tcPr>
          <w:p>
            <w:r>
              <w:rPr>
                <w:sz w:val="19"/>
              </w:rPr>
              <w:t>Incorporate specialized Miedema parameters and excess Gibbs interaction terms for heavy refractory elements (Re, Os, Ir, Ru) to enhance solidus predictions for ultra-high-temperature aerospace alloys (&gt;3200 K).</w:t>
            </w:r>
          </w:p>
        </w:tc>
      </w:tr>
      <w:tr>
        <w:tc>
          <w:tcPr>
            <w:tcW w:type="dxa" w:w="2592"/>
          </w:tcPr>
          <w:p>
            <w:r>
              <w:rPr>
                <w:sz w:val="19"/>
              </w:rPr>
              <w:t>Automated Academic PDF/Word Report Generator</w:t>
            </w:r>
          </w:p>
        </w:tc>
        <w:tc>
          <w:tcPr>
            <w:tcW w:type="dxa" w:w="1584"/>
          </w:tcPr>
          <w:p>
            <w:r>
              <w:rPr>
                <w:sz w:val="19"/>
              </w:rPr>
              <w:t>Low Priority</w:t>
            </w:r>
          </w:p>
        </w:tc>
        <w:tc>
          <w:tcPr>
            <w:tcW w:type="dxa" w:w="5904"/>
          </w:tcPr>
          <w:p>
            <w:r>
              <w:rPr>
                <w:sz w:val="19"/>
              </w:rPr>
              <w:t>Provide a single-click export producing fully formatted academic research reports summarizing alloy composition, computed thermophysical curves, simulated XRD peaks, and complete literature citations.</w:t>
            </w:r>
          </w:p>
        </w:tc>
      </w:tr>
      <w:tr>
        <w:tc>
          <w:tcPr>
            <w:tcW w:type="dxa" w:w="2592"/>
            <w:shd w:fill="EBF2FA" w:val="clear"/>
          </w:tcPr>
          <w:p>
            <w:r>
              <w:rPr>
                <w:sz w:val="19"/>
              </w:rPr>
              <w:t>Standalone Executable Compilation (MATLAB Runtime)</w:t>
            </w:r>
          </w:p>
        </w:tc>
        <w:tc>
          <w:tcPr>
            <w:tcW w:type="dxa" w:w="1584"/>
            <w:shd w:fill="EBF2FA" w:val="clear"/>
          </w:tcPr>
          <w:p>
            <w:r>
              <w:rPr>
                <w:sz w:val="19"/>
              </w:rPr>
              <w:t>Low Priority</w:t>
            </w:r>
          </w:p>
        </w:tc>
        <w:tc>
          <w:tcPr>
            <w:tcW w:type="dxa" w:w="5904"/>
            <w:shd w:fill="EBF2FA" w:val="clear"/>
          </w:tcPr>
          <w:p>
            <w:r>
              <w:rPr>
                <w:sz w:val="19"/>
              </w:rPr>
              <w:t>Package the entire application into a standalone Windows .exe installer via MATLAB Compiler, permitting collaborators without MATLAB installations to run the full simulation suite.</w:t>
            </w:r>
          </w:p>
        </w:tc>
      </w:tr>
    </w:tbl>
    <w:p>
      <w:r>
        <w:br w:type="page"/>
      </w:r>
    </w:p>
    <w:p>
      <w:pPr>
        <w:pStyle w:val="Heading1"/>
        <w:jc w:val="left"/>
      </w:pPr>
      <w:r>
        <w:rPr>
          <w:color w:val="1F4E79"/>
        </w:rPr>
        <w:t>10. Comprehensive Bibliography &amp; Authoritative Literature Citations</w:t>
      </w:r>
    </w:p>
    <w:p>
      <w:pPr>
        <w:pBdr>
          <w:bottom w:val="single" w:sz="6" w:space="1" w:color="1F4E79"/>
        </w:pBdr>
      </w:pPr>
    </w:p>
    <w:p>
      <w:pPr>
        <w:spacing w:after="120"/>
      </w:pPr>
      <w:r>
        <w:rPr>
          <w:b w:val="0"/>
          <w:i/>
          <w:sz w:val="20"/>
        </w:rPr>
        <w:t>The following bibliography documents every peer-reviewed journal article, foundational book, and crystallographic database utilized to calibrate, validate, and parameterize the High Entropy Alloy Material Design Platform:</w:t>
      </w:r>
    </w:p>
    <w:p/>
    <w:p>
      <w:pPr>
        <w:spacing w:after="120"/>
        <w:ind w:left="576" w:hanging="576"/>
      </w:pPr>
      <w:r>
        <w:rPr>
          <w:b/>
          <w:color w:val="1F4E79"/>
        </w:rPr>
        <w:t xml:space="preserve">[1] </w:t>
      </w:r>
      <w:r>
        <w:rPr>
          <w:b/>
        </w:rPr>
        <w:t xml:space="preserve">Cantor, B., Chang, I. T. H., Knight, P., &amp; Vincent, A. J. B. (2004). </w:t>
      </w:r>
      <w:r>
        <w:t xml:space="preserve">"Microstructural development in equiatomic multicomponent alloys." </w:t>
      </w:r>
      <w:r>
        <w:rPr>
          <w:i/>
        </w:rPr>
        <w:t xml:space="preserve">Materials Science and Engineering: A, </w:t>
      </w:r>
      <w:r>
        <w:t xml:space="preserve">Vol. 375–377, pp. 213–218. </w:t>
      </w:r>
      <w:r>
        <w:rPr>
          <w:color w:val="0055AA"/>
        </w:rPr>
        <w:t>https://doi.org/10.1016/j.msea.2003.10.257</w:t>
        <w:br/>
      </w:r>
      <w:r>
        <w:rPr>
          <w:color w:val="5A5A5A"/>
          <w:sz w:val="19"/>
        </w:rPr>
        <w:t xml:space="preserve">    Application Role: Landmark original discovery of equiatomic multicomponent High-Entropy Alloys; introduced the equiatomic CoCrFeMnNi 'Cantor alloy' and demonstrated that high-order systems can form simple single-phase solid solutions.</w:t>
      </w:r>
    </w:p>
    <w:p>
      <w:pPr>
        <w:spacing w:after="120"/>
        <w:ind w:left="576" w:hanging="576"/>
      </w:pPr>
      <w:r>
        <w:rPr>
          <w:b/>
          <w:color w:val="1F4E79"/>
        </w:rPr>
        <w:t xml:space="preserve">[2] </w:t>
      </w:r>
      <w:r>
        <w:rPr>
          <w:b/>
        </w:rPr>
        <w:t xml:space="preserve">Yeh, J. W., Chen, S. K., Lin, S. J., Gan, J. Y., Chin, T. S., Shun, T. T., Tsau, C. H., &amp; Chang, S. Y. (2004). </w:t>
      </w:r>
      <w:r>
        <w:t xml:space="preserve">"Nanostructured high-entropy alloys with multiple principal elements: Novel alloy design concepts and outcomes." </w:t>
      </w:r>
      <w:r>
        <w:rPr>
          <w:i/>
        </w:rPr>
        <w:t xml:space="preserve">Advanced Engineering Materials, </w:t>
      </w:r>
      <w:r>
        <w:t xml:space="preserve">Vol. 6, No. 5, pp. 299–303. </w:t>
      </w:r>
      <w:r>
        <w:rPr>
          <w:color w:val="0055AA"/>
        </w:rPr>
        <w:t>https://doi.org/10.1002/adem.200300567</w:t>
        <w:br/>
      </w:r>
      <w:r>
        <w:rPr>
          <w:color w:val="5A5A5A"/>
          <w:sz w:val="19"/>
        </w:rPr>
        <w:t xml:space="preserve">    Application Role: Foundational paper establishing the term 'High-Entropy Alloys' (HEAs) and defining the four core effects: high configurational entropy, severe lattice distortion, sluggish diffusion, and the cocktail effect.</w:t>
      </w:r>
    </w:p>
    <w:p>
      <w:pPr>
        <w:spacing w:after="120"/>
        <w:ind w:left="576" w:hanging="576"/>
      </w:pPr>
      <w:r>
        <w:rPr>
          <w:b/>
          <w:color w:val="1F4E79"/>
        </w:rPr>
        <w:t xml:space="preserve">[3] </w:t>
      </w:r>
      <w:r>
        <w:rPr>
          <w:b/>
        </w:rPr>
        <w:t xml:space="preserve">Laplanche, G., Kostka, A., Horst, O. M., Eggeler, G., &amp; George, E. P. (2016). </w:t>
      </w:r>
      <w:r>
        <w:t xml:space="preserve">"Microstructure evolution and critical stress for twin formation in the CrMnFeCoNi high-entropy alloy." </w:t>
      </w:r>
      <w:r>
        <w:rPr>
          <w:i/>
        </w:rPr>
        <w:t xml:space="preserve">Acta Materialia, </w:t>
      </w:r>
      <w:r>
        <w:t xml:space="preserve">Vol. 118, pp. 152–163. </w:t>
      </w:r>
      <w:r>
        <w:rPr>
          <w:color w:val="0055AA"/>
        </w:rPr>
        <w:t>https://doi.org/10.1016/j.actamat.2016.07.045</w:t>
        <w:br/>
      </w:r>
      <w:r>
        <w:rPr>
          <w:color w:val="5A5A5A"/>
          <w:sz w:val="19"/>
        </w:rPr>
        <w:t xml:space="preserve">    Application Role: Rigorous differential scanning calorimetry (DSC) and microstructural analysis confirming the melting and solidus temperature of equiatomic CoCrFeMnNi at Ts = 1553 K (1280 °C) and liquidus Tl = 1613–1622 K (1340–1349 °C).</w:t>
      </w:r>
    </w:p>
    <w:p>
      <w:pPr>
        <w:spacing w:after="120"/>
        <w:ind w:left="576" w:hanging="576"/>
      </w:pPr>
      <w:r>
        <w:rPr>
          <w:b/>
          <w:color w:val="1F4E79"/>
        </w:rPr>
        <w:t xml:space="preserve">[4] </w:t>
      </w:r>
      <w:r>
        <w:rPr>
          <w:b/>
        </w:rPr>
        <w:t xml:space="preserve">Laurent-Brocq, M., Akhatova, A., Perrière, L., Chebini, S., Sauvage, X., Leroy, E., &amp; Champion, Y. (2015). </w:t>
      </w:r>
      <w:r>
        <w:t xml:space="preserve">"Insights into the phase diagram of the CrMnFeCoNi high entropy alloy." </w:t>
      </w:r>
      <w:r>
        <w:rPr>
          <w:i/>
        </w:rPr>
        <w:t xml:space="preserve">Acta Materialia, </w:t>
      </w:r>
      <w:r>
        <w:t xml:space="preserve">Vol. 88, pp. 355–365. </w:t>
      </w:r>
      <w:r>
        <w:rPr>
          <w:color w:val="0055AA"/>
        </w:rPr>
        <w:t>https://doi.org/10.1016/j.actamat.2014.12.046</w:t>
        <w:br/>
      </w:r>
      <w:r>
        <w:rPr>
          <w:color w:val="5A5A5A"/>
          <w:sz w:val="19"/>
        </w:rPr>
        <w:t xml:space="preserve">    Application Role: Experimental determination of phase equilibria, dendritic solidification segregation, and solidus boundary for CoCrFeMnNi; homogenization safety threshold verified at 1473 K (1200 °C) to prevent incipient melting.</w:t>
      </w:r>
    </w:p>
    <w:p>
      <w:pPr>
        <w:spacing w:after="120"/>
        <w:ind w:left="576" w:hanging="576"/>
      </w:pPr>
      <w:r>
        <w:rPr>
          <w:b/>
          <w:color w:val="1F4E79"/>
        </w:rPr>
        <w:t xml:space="preserve">[5] </w:t>
      </w:r>
      <w:r>
        <w:rPr>
          <w:b/>
        </w:rPr>
        <w:t xml:space="preserve">Otto, F., Dlouhý, A., Somsen, C., Bei, H., Eggeler, G., &amp; George, E. P. (2013). </w:t>
      </w:r>
      <w:r>
        <w:t xml:space="preserve">"The influences of temperature and microstructure on the tensile properties of a CoCrFeMnNi high-entropy alloy." </w:t>
      </w:r>
      <w:r>
        <w:rPr>
          <w:i/>
        </w:rPr>
        <w:t xml:space="preserve">Acta Materialia, </w:t>
      </w:r>
      <w:r>
        <w:t xml:space="preserve">Vol. 61, No. 15, pp. 5743–5755. </w:t>
      </w:r>
      <w:r>
        <w:rPr>
          <w:color w:val="0055AA"/>
        </w:rPr>
        <w:t>https://doi.org/10.1016/j.actamat.2013.06.018</w:t>
        <w:br/>
      </w:r>
      <w:r>
        <w:rPr>
          <w:color w:val="5A5A5A"/>
          <w:sz w:val="19"/>
        </w:rPr>
        <w:t xml:space="preserve">    Application Role: High-temperature mechanical behavior and thermal stability of equiatomic CoCrFeMnNi from cryogenic 77 K to 1273 K; validates thermal stability limits of the single-phase FCC matrix.</w:t>
      </w:r>
    </w:p>
    <w:p>
      <w:pPr>
        <w:spacing w:after="120"/>
        <w:ind w:left="576" w:hanging="576"/>
      </w:pPr>
      <w:r>
        <w:rPr>
          <w:b/>
          <w:color w:val="1F4E79"/>
        </w:rPr>
        <w:t xml:space="preserve">[6] </w:t>
      </w:r>
      <w:r>
        <w:rPr>
          <w:b/>
        </w:rPr>
        <w:t xml:space="preserve">Zhang, C., Zhang, F., Chen, S., &amp; Cao, W. (2012). </w:t>
      </w:r>
      <w:r>
        <w:t xml:space="preserve">"Computational Thermodynamics Aided High-Entropy Alloy Design." </w:t>
      </w:r>
      <w:r>
        <w:rPr>
          <w:i/>
        </w:rPr>
        <w:t xml:space="preserve">JOM: The Journal of The Minerals, Metals &amp; Materials Society, </w:t>
      </w:r>
      <w:r>
        <w:t xml:space="preserve">Vol. 64, No. 7, pp. 839–845. </w:t>
      </w:r>
      <w:r>
        <w:rPr>
          <w:color w:val="0055AA"/>
        </w:rPr>
        <w:t>https://doi.org/10.1007/s11837-012-0365-6</w:t>
        <w:br/>
      </w:r>
      <w:r>
        <w:rPr>
          <w:color w:val="5A5A5A"/>
          <w:sz w:val="19"/>
        </w:rPr>
        <w:t xml:space="preserve">    Application Role: Definitive CALPHAD thermodynamic database assessment and DSC experimental validation of the AlxCoCrFeNi alloy family; primary calibration benchmark for solidus Ts = 1555–1580 K and liquidus Tl = 1640–1660 K.</w:t>
      </w:r>
    </w:p>
    <w:p>
      <w:pPr>
        <w:spacing w:after="120"/>
        <w:ind w:left="576" w:hanging="576"/>
      </w:pPr>
      <w:r>
        <w:rPr>
          <w:b/>
          <w:color w:val="1F4E79"/>
        </w:rPr>
        <w:t xml:space="preserve">[7] </w:t>
      </w:r>
      <w:r>
        <w:rPr>
          <w:b/>
        </w:rPr>
        <w:t xml:space="preserve">Wang, W. R., Wang, W. L., Wang, S. C., Tsai, Y. C., Lai, C. H., &amp; Yeh, J. W. (2012). </w:t>
      </w:r>
      <w:r>
        <w:t xml:space="preserve">"Effects of Al addition on the microstructure and mechanical property of AlxCoCrFeNi high-entropy alloys." </w:t>
      </w:r>
      <w:r>
        <w:rPr>
          <w:i/>
        </w:rPr>
        <w:t xml:space="preserve">Intermetallics, </w:t>
      </w:r>
      <w:r>
        <w:t xml:space="preserve">Vol. 26, pp. 44–51. </w:t>
      </w:r>
      <w:r>
        <w:rPr>
          <w:color w:val="0055AA"/>
        </w:rPr>
        <w:t>https://doi.org/10.1016/j.intermet.2012.03.005</w:t>
        <w:br/>
      </w:r>
      <w:r>
        <w:rPr>
          <w:color w:val="5A5A5A"/>
          <w:sz w:val="19"/>
        </w:rPr>
        <w:t xml:space="preserve">    Application Role: Experimental tracking of phase transitions from single-phase FCC (x ≤ 0.3) to duplex FCC+BCC (0.5 ≤ x ≤ 0.7) to spinodal ordered BCC/B2 (x ≥ 0.9) in AlxCoCrFeNi.</w:t>
      </w:r>
    </w:p>
    <w:p>
      <w:pPr>
        <w:spacing w:after="120"/>
        <w:ind w:left="576" w:hanging="576"/>
      </w:pPr>
      <w:r>
        <w:rPr>
          <w:b/>
          <w:color w:val="1F4E79"/>
        </w:rPr>
        <w:t xml:space="preserve">[8] </w:t>
      </w:r>
      <w:r>
        <w:rPr>
          <w:b/>
        </w:rPr>
        <w:t xml:space="preserve">Kao, Y. F., Chen, T. J., Chen, S. K., &amp; Yeh, J. W. (2011). </w:t>
      </w:r>
      <w:r>
        <w:t xml:space="preserve">"Microstructure and mechanical properties of AlxCoCrFeNi high-entropy alloys." </w:t>
      </w:r>
      <w:r>
        <w:rPr>
          <w:i/>
        </w:rPr>
        <w:t xml:space="preserve">Journal of Alloys and Compounds, </w:t>
      </w:r>
      <w:r>
        <w:t xml:space="preserve">Vol. 509, No. 5, pp. 1607–1614. </w:t>
      </w:r>
      <w:r>
        <w:rPr>
          <w:color w:val="0055AA"/>
        </w:rPr>
        <w:t>https://doi.org/10.1016/j.jallcom.2010.10.210</w:t>
        <w:br/>
      </w:r>
      <w:r>
        <w:rPr>
          <w:color w:val="5A5A5A"/>
          <w:sz w:val="19"/>
        </w:rPr>
        <w:t xml:space="preserve">    Application Role: Systematic measurement of elastic modulus, Poisson's ratio, lattice constants, and thermal expansion across the AlxCoCrFeNi family; benchmark for mechanical constants in Section 02.</w:t>
      </w:r>
    </w:p>
    <w:p>
      <w:pPr>
        <w:spacing w:after="120"/>
        <w:ind w:left="576" w:hanging="576"/>
      </w:pPr>
      <w:r>
        <w:rPr>
          <w:b/>
          <w:color w:val="1F4E79"/>
        </w:rPr>
        <w:t xml:space="preserve">[9] </w:t>
      </w:r>
      <w:r>
        <w:rPr>
          <w:b/>
        </w:rPr>
        <w:t xml:space="preserve">Wang, W. R., Wang, W. L., &amp; Yeh, J. W. (2014). </w:t>
      </w:r>
      <w:r>
        <w:t xml:space="preserve">"Microstructural characterization and mechanical behavior of Al0.5CoCrFeNi high entropy alloy." </w:t>
      </w:r>
      <w:r>
        <w:rPr>
          <w:i/>
        </w:rPr>
        <w:t xml:space="preserve">Journal of Alloys and Compounds, </w:t>
      </w:r>
      <w:r>
        <w:t xml:space="preserve">Vol. 589, pp. 143–152. </w:t>
      </w:r>
      <w:r>
        <w:rPr>
          <w:color w:val="0055AA"/>
        </w:rPr>
        <w:t>https://doi.org/10.1016/j.jallcom.2013.11.084</w:t>
        <w:br/>
      </w:r>
      <w:r>
        <w:rPr>
          <w:color w:val="5A5A5A"/>
          <w:sz w:val="19"/>
        </w:rPr>
        <w:t xml:space="preserve">    Application Role: Phase transformation kinetics and high-temperature thermal stability for duplex Al0.5CoCrFeNi; experimental benchmark for solidus Ts = 1604–1633 K and liquidus Tl = 1668 K.</w:t>
      </w:r>
    </w:p>
    <w:p>
      <w:pPr>
        <w:spacing w:after="120"/>
        <w:ind w:left="576" w:hanging="576"/>
      </w:pPr>
      <w:r>
        <w:rPr>
          <w:b/>
          <w:color w:val="1F4E79"/>
        </w:rPr>
        <w:t xml:space="preserve">[10] </w:t>
      </w:r>
      <w:r>
        <w:rPr>
          <w:b/>
        </w:rPr>
        <w:t xml:space="preserve">Chou, H. P., Chang, Y. S., Chen, S. K., &amp; Yeh, J. W. (2009). </w:t>
      </w:r>
      <w:r>
        <w:t xml:space="preserve">"Microstructure, thermophysical and electrical properties in AlxCoCrFeNi (0 ≤ x ≤ 2) high-entropy alloys." </w:t>
      </w:r>
      <w:r>
        <w:rPr>
          <w:i/>
        </w:rPr>
        <w:t xml:space="preserve">Materials Science and Engineering: B, </w:t>
      </w:r>
      <w:r>
        <w:t xml:space="preserve">Vol. 163, No. 3, pp. 184–189. </w:t>
      </w:r>
      <w:r>
        <w:rPr>
          <w:color w:val="0055AA"/>
        </w:rPr>
        <w:t>https://doi.org/10.1016/j.mseb.2009.05.024</w:t>
        <w:br/>
      </w:r>
      <w:r>
        <w:rPr>
          <w:color w:val="5A5A5A"/>
          <w:sz w:val="19"/>
        </w:rPr>
        <w:t xml:space="preserve">    Application Role: Direct experimental measurements of thermal conductivity, electrical resistivity, and Lorenz number as a function of temperature (300–1000 K) across AlxCoCrFeNi compositions.</w:t>
      </w:r>
    </w:p>
    <w:p>
      <w:pPr>
        <w:spacing w:after="120"/>
        <w:ind w:left="576" w:hanging="576"/>
      </w:pPr>
      <w:r>
        <w:rPr>
          <w:b/>
          <w:color w:val="1F4E79"/>
        </w:rPr>
        <w:t xml:space="preserve">[11] </w:t>
      </w:r>
      <w:r>
        <w:rPr>
          <w:b/>
        </w:rPr>
        <w:t xml:space="preserve">Senkov, O. N., Wilks, G. B., Miracle, D. B., Chuang, C. P., &amp; Liaw, P. K. (2010). </w:t>
      </w:r>
      <w:r>
        <w:t xml:space="preserve">"Refractory high-entropy alloys." </w:t>
      </w:r>
      <w:r>
        <w:rPr>
          <w:i/>
        </w:rPr>
        <w:t xml:space="preserve">Intermetallics, </w:t>
      </w:r>
      <w:r>
        <w:t xml:space="preserve">Vol. 18, No. 9, pp. 1758–1765. </w:t>
      </w:r>
      <w:r>
        <w:rPr>
          <w:color w:val="0055AA"/>
        </w:rPr>
        <w:t>https://doi.org/10.1016/j.intermet.2010.05.014</w:t>
        <w:br/>
      </w:r>
      <w:r>
        <w:rPr>
          <w:color w:val="5A5A5A"/>
          <w:sz w:val="19"/>
        </w:rPr>
        <w:t xml:space="preserve">    Application Role: Pioneering introduction of BCC Refractory High-Entropy Alloys (RHEAs) Nb25Mo25Ta25W25 and V20Nb20Mo20Ta20W20; confirmed ultra-high melting temperatures Tm &gt; 3073 K (2800 °C).</w:t>
      </w:r>
    </w:p>
    <w:p>
      <w:pPr>
        <w:spacing w:after="120"/>
        <w:ind w:left="576" w:hanging="576"/>
      </w:pPr>
      <w:r>
        <w:rPr>
          <w:b/>
          <w:color w:val="1F4E79"/>
        </w:rPr>
        <w:t xml:space="preserve">[12] </w:t>
      </w:r>
      <w:r>
        <w:rPr>
          <w:b/>
        </w:rPr>
        <w:t xml:space="preserve">Senkov, O. N., Wilks, G. B., Scott, J. M., &amp; Miracle, D. B. (2011). </w:t>
      </w:r>
      <w:r>
        <w:t xml:space="preserve">"Mechanical properties of Nb25Mo25Ta25W25 and V20Nb20Mo20Ta20W20 refractory high entropy alloys." </w:t>
      </w:r>
      <w:r>
        <w:rPr>
          <w:i/>
        </w:rPr>
        <w:t xml:space="preserve">Intermetallics, </w:t>
      </w:r>
      <w:r>
        <w:t xml:space="preserve">Vol. 19, No. 5, pp. 698–706. </w:t>
      </w:r>
      <w:r>
        <w:rPr>
          <w:color w:val="0055AA"/>
        </w:rPr>
        <w:t>https://doi.org/10.1016/j.intermet.2011.01.004</w:t>
        <w:br/>
      </w:r>
      <w:r>
        <w:rPr>
          <w:color w:val="5A5A5A"/>
          <w:sz w:val="19"/>
        </w:rPr>
        <w:t xml:space="preserve">    Application Role: High-temperature compression strength, density, and thermal stability of NbMoTaW up to 1873 K (1600 °C); experimental solidus Ts = 2959 K, liquidus Tl = 3073 K.</w:t>
      </w:r>
    </w:p>
    <w:p>
      <w:pPr>
        <w:spacing w:after="120"/>
        <w:ind w:left="576" w:hanging="576"/>
      </w:pPr>
      <w:r>
        <w:rPr>
          <w:b/>
          <w:color w:val="1F4E79"/>
        </w:rPr>
        <w:t xml:space="preserve">[13] </w:t>
      </w:r>
      <w:r>
        <w:rPr>
          <w:b/>
        </w:rPr>
        <w:t xml:space="preserve">Senkov, O. N., Scott, J. M., Senkova, S. V., Meisenkothen, F., Miracle, D. B., &amp; Woodward, C. F. (2011). </w:t>
      </w:r>
      <w:r>
        <w:t xml:space="preserve">"Microstructure and room temperature properties of a high-entropy TaNbHfZrTi alloy." </w:t>
      </w:r>
      <w:r>
        <w:rPr>
          <w:i/>
        </w:rPr>
        <w:t xml:space="preserve">Journal of Alloys and Compounds, </w:t>
      </w:r>
      <w:r>
        <w:t xml:space="preserve">Vol. 509, No. 20, pp. 6043–6048. </w:t>
      </w:r>
      <w:r>
        <w:rPr>
          <w:color w:val="0055AA"/>
        </w:rPr>
        <w:t>https://doi.org/10.1016/j.jallcom.2011.02.171</w:t>
        <w:br/>
      </w:r>
      <w:r>
        <w:rPr>
          <w:color w:val="5A5A5A"/>
          <w:sz w:val="19"/>
        </w:rPr>
        <w:t xml:space="preserve">    Application Role: Synthesis and characterization of ductile single-phase BCC refractory alloy TiZrHfNbTa; benchmark for high-temperature solidus Ts = 2373 K (2100 °C) and liquidus Tl = 2453 K (2180 °C).</w:t>
      </w:r>
    </w:p>
    <w:p>
      <w:pPr>
        <w:spacing w:after="120"/>
        <w:ind w:left="576" w:hanging="576"/>
      </w:pPr>
      <w:r>
        <w:rPr>
          <w:b/>
          <w:color w:val="1F4E79"/>
        </w:rPr>
        <w:t xml:space="preserve">[14] </w:t>
      </w:r>
      <w:r>
        <w:rPr>
          <w:b/>
        </w:rPr>
        <w:t xml:space="preserve">Miracle, D. B., &amp; Senkov, O. N. (2017). </w:t>
      </w:r>
      <w:r>
        <w:t xml:space="preserve">"A critical review of high entropy alloys and related concepts." </w:t>
      </w:r>
      <w:r>
        <w:rPr>
          <w:i/>
        </w:rPr>
        <w:t xml:space="preserve">Acta Materialia, </w:t>
      </w:r>
      <w:r>
        <w:t xml:space="preserve">Vol. 122, pp. 448–511. </w:t>
      </w:r>
      <w:r>
        <w:rPr>
          <w:color w:val="0055AA"/>
        </w:rPr>
        <w:t>https://doi.org/10.1016/j.actamat.2016.08.081</w:t>
        <w:br/>
      </w:r>
      <w:r>
        <w:rPr>
          <w:color w:val="5A5A5A"/>
          <w:sz w:val="19"/>
        </w:rPr>
        <w:t xml:space="preserve">    Application Role: Exhaustive review evaluating 400+ HEA compositions, phase formation rules, thermophysical databases, and melting point compilations for transition-metal and refractory systems.</w:t>
      </w:r>
    </w:p>
    <w:p>
      <w:pPr>
        <w:spacing w:after="120"/>
        <w:ind w:left="576" w:hanging="576"/>
      </w:pPr>
      <w:r>
        <w:rPr>
          <w:b/>
          <w:color w:val="1F4E79"/>
        </w:rPr>
        <w:t xml:space="preserve">[15] </w:t>
      </w:r>
      <w:r>
        <w:rPr>
          <w:b/>
        </w:rPr>
        <w:t xml:space="preserve">Lu, Y., Dong, Y., Guo, S., Jiang, L., Kang, H., Wang, T., Wen, B., Wang, Z., Jie, J., Cao, Z., Ruan, H., &amp; Li, T. (2014). </w:t>
      </w:r>
      <w:r>
        <w:t xml:space="preserve">"A Promising New Class of High-Temperature Alloys: Eutectic High-Entropy Alloys." </w:t>
      </w:r>
      <w:r>
        <w:rPr>
          <w:i/>
        </w:rPr>
        <w:t xml:space="preserve">Scientific Reports, </w:t>
      </w:r>
      <w:r>
        <w:t xml:space="preserve">Vol. 4, Art. No. 6200. </w:t>
      </w:r>
      <w:r>
        <w:rPr>
          <w:color w:val="0055AA"/>
        </w:rPr>
        <w:t>https://doi.org/10.1038/srep06200</w:t>
        <w:br/>
      </w:r>
      <w:r>
        <w:rPr>
          <w:color w:val="5A5A5A"/>
          <w:sz w:val="19"/>
        </w:rPr>
        <w:t xml:space="preserve">    Application Role: Introduction of Eutectic High-Entropy Alloys (EHEAs) and discovery of AlCoCrFeNi2.1; confirms narrow solidification freezing range: Ts = 1588–1613 K, Tl = 1625 K, ΔT_freezing ≤ 35 K.</w:t>
      </w:r>
    </w:p>
    <w:p>
      <w:pPr>
        <w:spacing w:after="120"/>
        <w:ind w:left="576" w:hanging="576"/>
      </w:pPr>
      <w:r>
        <w:rPr>
          <w:b/>
          <w:color w:val="1F4E79"/>
        </w:rPr>
        <w:t xml:space="preserve">[16] </w:t>
      </w:r>
      <w:r>
        <w:rPr>
          <w:b/>
        </w:rPr>
        <w:t xml:space="preserve">Gao, X., Lu, Y., Zhang, B., Liang, N., Wu, G., Li, T., &amp; Liaw, P. K. (2017). </w:t>
      </w:r>
      <w:r>
        <w:t xml:space="preserve">"Microstructural origins of high strength and high ductility in an AlCoCrFeNi2.1 eutectic high-entropy alloy." </w:t>
      </w:r>
      <w:r>
        <w:rPr>
          <w:i/>
        </w:rPr>
        <w:t xml:space="preserve">Acta Materialia, </w:t>
      </w:r>
      <w:r>
        <w:t xml:space="preserve">Vol. 141, pp. 59–66. </w:t>
      </w:r>
      <w:r>
        <w:rPr>
          <w:color w:val="0055AA"/>
        </w:rPr>
        <w:t>https://doi.org/10.1016/j.actamat.2017.07.041</w:t>
        <w:br/>
      </w:r>
      <w:r>
        <w:rPr>
          <w:color w:val="5A5A5A"/>
          <w:sz w:val="19"/>
        </w:rPr>
        <w:t xml:space="preserve">    Application Role: In-depth investigation of lamellar L12 (FCC) + B2 (BCC) phase stability, thermal conductivity, and tensile mechanics of AlCoCrFeNi2.1 from 77 K to 1173 K.</w:t>
      </w:r>
    </w:p>
    <w:p>
      <w:pPr>
        <w:spacing w:after="120"/>
        <w:ind w:left="576" w:hanging="576"/>
      </w:pPr>
      <w:r>
        <w:rPr>
          <w:b/>
          <w:color w:val="1F4E79"/>
        </w:rPr>
        <w:t xml:space="preserve">[17] </w:t>
      </w:r>
      <w:r>
        <w:rPr>
          <w:b/>
        </w:rPr>
        <w:t xml:space="preserve">Zhang, Y., Zuo, T. T., Tang, Z., Gao, M. C., Dahmen, K. A., Liaw, P. K., &amp; Lu, Z. P. (2014). </w:t>
      </w:r>
      <w:r>
        <w:t xml:space="preserve">"Microstructures and properties of high-entropy alloys." </w:t>
      </w:r>
      <w:r>
        <w:rPr>
          <w:i/>
        </w:rPr>
        <w:t xml:space="preserve">Progress in Materials Science, </w:t>
      </w:r>
      <w:r>
        <w:t xml:space="preserve">Vol. 61, pp. 1–93. </w:t>
      </w:r>
      <w:r>
        <w:rPr>
          <w:color w:val="0055AA"/>
        </w:rPr>
        <w:t>https://doi.org/10.1016/j.pmatsci.2013.10.001</w:t>
        <w:br/>
      </w:r>
      <w:r>
        <w:rPr>
          <w:color w:val="5A5A5A"/>
          <w:sz w:val="19"/>
        </w:rPr>
        <w:t xml:space="preserve">    Application Role: Authoritative review establishing the thermodynamic criteria for solid-solution phase formation in HEAs: ΔHmix, ΔSmix, atomic size difference δ, and parameter Ω.</w:t>
      </w:r>
    </w:p>
    <w:p>
      <w:pPr>
        <w:spacing w:after="120"/>
        <w:ind w:left="576" w:hanging="576"/>
      </w:pPr>
      <w:r>
        <w:rPr>
          <w:b/>
          <w:color w:val="1F4E79"/>
        </w:rPr>
        <w:t xml:space="preserve">[18] </w:t>
      </w:r>
      <w:r>
        <w:rPr>
          <w:b/>
        </w:rPr>
        <w:t xml:space="preserve">Yang, X., &amp; Zhang, Y. (2012). </w:t>
      </w:r>
      <w:r>
        <w:t xml:space="preserve">"Prediction of high-entropy stabilized solid-solution formation by multidimensional Hume-Rothery rules." </w:t>
      </w:r>
      <w:r>
        <w:rPr>
          <w:i/>
        </w:rPr>
        <w:t xml:space="preserve">Materials Chemistry and Physics, </w:t>
      </w:r>
      <w:r>
        <w:t xml:space="preserve">Vol. 132, No. 2–3, pp. 233–238. </w:t>
      </w:r>
      <w:r>
        <w:rPr>
          <w:color w:val="0055AA"/>
        </w:rPr>
        <w:t>https://doi.org/10.1016/j.matchemphys.2011.11.021</w:t>
        <w:br/>
      </w:r>
      <w:r>
        <w:rPr>
          <w:color w:val="5A5A5A"/>
          <w:sz w:val="19"/>
        </w:rPr>
        <w:t xml:space="preserve">    Application Role: Theoretical derivation of the Ω stability criterion (Ω = Tm,avg·ΔSmix / |ΔHmix| ≥ 1.1) and atomic radius difference δ ≤ 6.6% as prerequisites for forming disordered solid solutions.</w:t>
      </w:r>
    </w:p>
    <w:p>
      <w:pPr>
        <w:spacing w:after="120"/>
        <w:ind w:left="576" w:hanging="576"/>
      </w:pPr>
      <w:r>
        <w:rPr>
          <w:b/>
          <w:color w:val="1F4E79"/>
        </w:rPr>
        <w:t xml:space="preserve">[19] </w:t>
      </w:r>
      <w:r>
        <w:rPr>
          <w:b/>
        </w:rPr>
        <w:t xml:space="preserve">Guo, S., Ng, C., Lu, J., &amp; Liu, C. T. (2011). </w:t>
      </w:r>
      <w:r>
        <w:t xml:space="preserve">"Effect of valence electron concentration on stability of fcc or bcc phase in high entropy alloys." </w:t>
      </w:r>
      <w:r>
        <w:rPr>
          <w:i/>
        </w:rPr>
        <w:t xml:space="preserve">Journal of Applied Physics, </w:t>
      </w:r>
      <w:r>
        <w:t xml:space="preserve">Vol. 109, No. 10, Art. No. 103505. </w:t>
      </w:r>
      <w:r>
        <w:rPr>
          <w:color w:val="0055AA"/>
        </w:rPr>
        <w:t>https://doi.org/10.1063/1.3587228</w:t>
        <w:br/>
      </w:r>
      <w:r>
        <w:rPr>
          <w:color w:val="5A5A5A"/>
          <w:sz w:val="19"/>
        </w:rPr>
        <w:t xml:space="preserve">    Application Role: Origin of the Valence Electron Concentration (VEC) rule for phase selection: VEC ≥ 8.0 favors FCC, VEC &lt; 6.87 favors BCC, and intermediate values yield duplex FCC+BCC mixtures.</w:t>
      </w:r>
    </w:p>
    <w:p>
      <w:pPr>
        <w:spacing w:after="120"/>
        <w:ind w:left="576" w:hanging="576"/>
      </w:pPr>
      <w:r>
        <w:rPr>
          <w:b/>
          <w:color w:val="1F4E79"/>
        </w:rPr>
        <w:t xml:space="preserve">[20] </w:t>
      </w:r>
      <w:r>
        <w:rPr>
          <w:b/>
        </w:rPr>
        <w:t xml:space="preserve">Dinsdale, A. T. (1991). </w:t>
      </w:r>
      <w:r>
        <w:t xml:space="preserve">"SGTE data for pure elements." </w:t>
      </w:r>
      <w:r>
        <w:rPr>
          <w:i/>
        </w:rPr>
        <w:t xml:space="preserve">CALPHAD, </w:t>
      </w:r>
      <w:r>
        <w:t xml:space="preserve">Vol. 15, No. 4, pp. 317–425. </w:t>
      </w:r>
      <w:r>
        <w:rPr>
          <w:color w:val="0055AA"/>
        </w:rPr>
        <w:t>https://doi.org/10.1016/0364-5916(91)90030-N</w:t>
        <w:br/>
      </w:r>
      <w:r>
        <w:rPr>
          <w:color w:val="5A5A5A"/>
          <w:sz w:val="19"/>
        </w:rPr>
        <w:t xml:space="preserve">    Application Role: Standard thermodynamic database of Gibbs energy functions G_i^0(T) for pure elements compiled by the Scientific Group Thermodata Europe (SGTE); mathematical foundation of HEAThermoEngine.m unary database.</w:t>
      </w:r>
    </w:p>
    <w:p>
      <w:pPr>
        <w:spacing w:after="120"/>
        <w:ind w:left="576" w:hanging="576"/>
      </w:pPr>
      <w:r>
        <w:rPr>
          <w:b/>
          <w:color w:val="1F4E79"/>
        </w:rPr>
        <w:t xml:space="preserve">[21] </w:t>
      </w:r>
      <w:r>
        <w:rPr>
          <w:b/>
        </w:rPr>
        <w:t xml:space="preserve">de Boer, F. R., Boom, R., Mattens, W. C. M., Miedema, A. R., &amp; Niessen, A. K. (1988). </w:t>
      </w:r>
      <w:r>
        <w:t xml:space="preserve">"Cohesion in Metals: Transition Metal Alloys." </w:t>
      </w:r>
      <w:r>
        <w:rPr>
          <w:i/>
        </w:rPr>
        <w:t xml:space="preserve">North-Holland Physics Publishing, Amsterdam, </w:t>
      </w:r>
      <w:r>
        <w:t xml:space="preserve">Monograph Series, Vol. 1, 758 pp. </w:t>
      </w:r>
      <w:r>
        <w:rPr>
          <w:color w:val="0055AA"/>
        </w:rPr>
        <w:t>ISBN: 978-0444870988</w:t>
        <w:br/>
      </w:r>
      <w:r>
        <w:rPr>
          <w:color w:val="5A5A5A"/>
          <w:sz w:val="19"/>
        </w:rPr>
        <w:t xml:space="preserve">    Application Role: Foundational treatise on Miedema's semi-empirical model for calculating binary mixing enthalpies ΔH_ij from atomic electronegativities and electron densities; utilized in HEAThermoEngine.m.</w:t>
      </w:r>
    </w:p>
    <w:p>
      <w:pPr>
        <w:spacing w:after="120"/>
        <w:ind w:left="576" w:hanging="576"/>
      </w:pPr>
      <w:r>
        <w:rPr>
          <w:b/>
          <w:color w:val="1F4E79"/>
        </w:rPr>
        <w:t xml:space="preserve">[22] </w:t>
      </w:r>
      <w:r>
        <w:rPr>
          <w:b/>
        </w:rPr>
        <w:t xml:space="preserve">Cromer, D. T., &amp; Mann, J. B. (1968). </w:t>
      </w:r>
      <w:r>
        <w:t xml:space="preserve">"X-ray scattering factors computed from numerical Hartree-Fock wave functions." </w:t>
      </w:r>
      <w:r>
        <w:rPr>
          <w:i/>
        </w:rPr>
        <w:t xml:space="preserve">Acta Crystallographica Section A, </w:t>
      </w:r>
      <w:r>
        <w:t xml:space="preserve">Vol. 24, Part 2, pp. 321–324. </w:t>
      </w:r>
      <w:r>
        <w:rPr>
          <w:color w:val="0055AA"/>
        </w:rPr>
        <w:t>https://doi.org/10.1107/S0567739468000550</w:t>
        <w:br/>
      </w:r>
      <w:r>
        <w:rPr>
          <w:color w:val="5A5A5A"/>
          <w:sz w:val="19"/>
        </w:rPr>
        <w:t xml:space="preserve">    Application Role: Authoritative 9-parameter analytical Gaussian formulation for computing atomic scattering form factors f(Q) used directly in HEAXRDEngine.m for kinematic Bragg diffraction.</w:t>
      </w:r>
    </w:p>
    <w:p>
      <w:pPr>
        <w:spacing w:after="120"/>
        <w:ind w:left="576" w:hanging="576"/>
      </w:pPr>
      <w:r>
        <w:rPr>
          <w:b/>
          <w:color w:val="1F4E79"/>
        </w:rPr>
        <w:t xml:space="preserve">[23] </w:t>
      </w:r>
      <w:r>
        <w:rPr>
          <w:b/>
        </w:rPr>
        <w:t xml:space="preserve">Patterson, A. L. (1939). </w:t>
      </w:r>
      <w:r>
        <w:t xml:space="preserve">"The Scherrer formula for X-ray particle size determination." </w:t>
      </w:r>
      <w:r>
        <w:rPr>
          <w:i/>
        </w:rPr>
        <w:t xml:space="preserve">Physical Review, </w:t>
      </w:r>
      <w:r>
        <w:t xml:space="preserve">Vol. 56, No. 10, pp. 978–982. </w:t>
      </w:r>
      <w:r>
        <w:rPr>
          <w:color w:val="0055AA"/>
        </w:rPr>
        <w:t>https://doi.org/10.1103/PhysRev.56.978</w:t>
        <w:br/>
      </w:r>
      <w:r>
        <w:rPr>
          <w:color w:val="5A5A5A"/>
          <w:sz w:val="19"/>
        </w:rPr>
        <w:t xml:space="preserve">    Application Role: Theoretical derivation and calibration of the Scherrer peak broadening equation FWHM = K·λ / (D·cos θ) utilized for crystallite size modeling in HEAXRDEngine.m.</w:t>
      </w:r>
    </w:p>
    <w:p>
      <w:pPr>
        <w:spacing w:after="120"/>
        <w:ind w:left="576" w:hanging="576"/>
      </w:pPr>
      <w:r>
        <w:rPr>
          <w:b/>
          <w:color w:val="1F4E79"/>
        </w:rPr>
        <w:t xml:space="preserve">[24] </w:t>
      </w:r>
      <w:r>
        <w:rPr>
          <w:b/>
        </w:rPr>
        <w:t xml:space="preserve">George, E. P., Raabe, D., &amp; Ritchie, R. O. (2019). </w:t>
      </w:r>
      <w:r>
        <w:t xml:space="preserve">"High-entropy alloys." </w:t>
      </w:r>
      <w:r>
        <w:rPr>
          <w:i/>
        </w:rPr>
        <w:t xml:space="preserve">Nature Reviews Materials, </w:t>
      </w:r>
      <w:r>
        <w:t xml:space="preserve">Vol. 4, No. 8, pp. 515–534. </w:t>
      </w:r>
      <w:r>
        <w:rPr>
          <w:color w:val="0055AA"/>
        </w:rPr>
        <w:t>https://doi.org/10.1038/s41578-019-0121-4</w:t>
        <w:br/>
      </w:r>
      <w:r>
        <w:rPr>
          <w:color w:val="5A5A5A"/>
          <w:sz w:val="19"/>
        </w:rPr>
        <w:t xml:space="preserve">    Application Role: Comprehensive state-of-the-art overview of alloy design strategies, mechanical behavior, damage tolerance, and thermodynamic phase stability in multi-principal-element systems.</w:t>
      </w:r>
    </w:p>
    <w:p/>
    <w:p/>
    <w:p>
      <w:pPr>
        <w:jc w:val="center"/>
      </w:pPr>
      <w:r>
        <w:rPr>
          <w:i/>
          <w:color w:val="787878"/>
          <w:sz w:val="21"/>
        </w:rPr>
        <w:t>— End of Comprehensive Development &amp; Academic Citation Report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