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AE771" w14:textId="77777777" w:rsidR="00793D9C" w:rsidRPr="00573A25" w:rsidRDefault="00793D9C" w:rsidP="00793D9C">
      <w:pPr>
        <w:spacing w:after="0"/>
        <w:jc w:val="center"/>
        <w:rPr>
          <w:rFonts w:ascii="Cambria" w:hAnsi="Cambria"/>
          <w:sz w:val="44"/>
          <w:szCs w:val="48"/>
        </w:rPr>
      </w:pPr>
      <w:r w:rsidRPr="00573A25">
        <w:rPr>
          <w:rFonts w:ascii="Cambria" w:hAnsi="Cambria"/>
          <w:b/>
          <w:sz w:val="40"/>
          <w:szCs w:val="48"/>
        </w:rPr>
        <w:t>HealthConnect Week 7 Project Summary</w:t>
      </w:r>
    </w:p>
    <w:p w14:paraId="7F3DC63E" w14:textId="77777777" w:rsidR="00793D9C" w:rsidRDefault="00793D9C" w:rsidP="00793D9C">
      <w:pPr>
        <w:spacing w:after="0"/>
        <w:jc w:val="center"/>
        <w:rPr>
          <w:rFonts w:ascii="Cambria" w:hAnsi="Cambria"/>
          <w:b/>
          <w:sz w:val="32"/>
          <w:szCs w:val="36"/>
        </w:rPr>
      </w:pPr>
      <w:r w:rsidRPr="00573A25">
        <w:rPr>
          <w:rFonts w:ascii="Cambria" w:hAnsi="Cambria"/>
          <w:b/>
          <w:sz w:val="32"/>
          <w:szCs w:val="36"/>
        </w:rPr>
        <w:t>Project Management Track — Week 7</w:t>
      </w:r>
    </w:p>
    <w:p w14:paraId="7FEB43D0" w14:textId="77777777" w:rsidR="00793D9C" w:rsidRPr="00573A25" w:rsidRDefault="00793D9C" w:rsidP="00793D9C">
      <w:pPr>
        <w:spacing w:after="0"/>
        <w:jc w:val="center"/>
        <w:rPr>
          <w:rFonts w:ascii="Cambria" w:hAnsi="Cambria"/>
          <w:b/>
          <w:sz w:val="32"/>
          <w:szCs w:val="36"/>
        </w:rPr>
      </w:pPr>
    </w:p>
    <w:p w14:paraId="7F95762C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</w:rPr>
        <w:t>Project: HealthConnect Clinic Experience Lab</w:t>
      </w:r>
      <w:r w:rsidRPr="00573A25">
        <w:rPr>
          <w:rFonts w:ascii="Cambria" w:hAnsi="Cambria"/>
        </w:rPr>
        <w:br/>
        <w:t>Project Title: Improving Patient Appointment Attendance and Healthcare Support Using Data and AI</w:t>
      </w:r>
    </w:p>
    <w:p w14:paraId="23E380AE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</w:rPr>
        <w:t>Status: Overall Project Readiness — CONDITIONAL</w:t>
      </w:r>
    </w:p>
    <w:p w14:paraId="69CC4F14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</w:rPr>
        <w:t>The following summary captures the Week 7 testing/refinement position without duplicating the full coordination report.</w:t>
      </w:r>
    </w:p>
    <w:p w14:paraId="5E029120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t>1. What we planned to test.</w:t>
      </w:r>
    </w:p>
    <w:p w14:paraId="238650D1" w14:textId="77777777" w:rsidR="00793D9C" w:rsidRPr="00573A25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>Week 7 planned evidence-based testing across Project Management, Data Analytics, Data Science, ML Engineering and Generative AI, followed by refinement, retesting and readiness assessment.</w:t>
      </w:r>
    </w:p>
    <w:p w14:paraId="72D733BF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t>2. What we actually tested.</w:t>
      </w:r>
    </w:p>
    <w:p w14:paraId="44E90DB6" w14:textId="77777777" w:rsidR="00793D9C" w:rsidRPr="00573A25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>The verified activity was the Data Analytics → Project Management validation of No-Show Rate by Previous No-Show Group using the underlying Power BI data/calculations.</w:t>
      </w:r>
    </w:p>
    <w:p w14:paraId="3BBFEB8A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t>3. Most important testing results.</w:t>
      </w:r>
    </w:p>
    <w:p w14:paraId="4CBBE09A" w14:textId="77777777" w:rsidR="00793D9C" w:rsidRPr="00573A25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>The expected and actual rates matched: 43.5% for 0 previous no-shows, 54.8% for 1–2, and 68.8% for 3+. The underlying totals were 5,000 appointments and 2,423 no-shows. Result: PASS.</w:t>
      </w:r>
    </w:p>
    <w:p w14:paraId="5EA45B1F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t>4. Issues or weaknesses identified.</w:t>
      </w:r>
    </w:p>
    <w:p w14:paraId="624892AB" w14:textId="77777777" w:rsidR="00793D9C" w:rsidRPr="00573A25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>No calculation inconsistency was identified in the tested KPI. The main Week 7 weakness is incomplete technical evidence for Data Science, ML Engineering and Generative AI, plus the absence of verified end-to-end validation evidence.</w:t>
      </w:r>
    </w:p>
    <w:p w14:paraId="152FA53B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t>5. Improvements/refinements made.</w:t>
      </w:r>
    </w:p>
    <w:p w14:paraId="5FE28C9E" w14:textId="77777777" w:rsidR="00793D9C" w:rsidRPr="00573A25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>No numerical correction was made. The refinement was to document the validation evidence, preserve the supported finding, and strengthen evidence-based status control.</w:t>
      </w:r>
    </w:p>
    <w:p w14:paraId="11396E7B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t>6. Retesting results.</w:t>
      </w:r>
    </w:p>
    <w:p w14:paraId="6350196E" w14:textId="77777777" w:rsidR="00793D9C" w:rsidRPr="00573A25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>The validated Data Analytics output remained consistent after verification. No corrective retest was required for that KPI; other retesting remains dependent on outstanding evidence.</w:t>
      </w:r>
    </w:p>
    <w:p w14:paraId="12EC8C5F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t>7. Track(s) collaborated with.</w:t>
      </w:r>
    </w:p>
    <w:p w14:paraId="17D1D236" w14:textId="77777777" w:rsidR="00793D9C" w:rsidRPr="00573A25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>Data Analytics and Project Management.</w:t>
      </w:r>
    </w:p>
    <w:p w14:paraId="677A0FD9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t>8. What was tested collaboratively.</w:t>
      </w:r>
    </w:p>
    <w:p w14:paraId="50BED471" w14:textId="77777777" w:rsidR="00793D9C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>The relationship between previous no-show history and subsequent no-show rate, specifically the grouped KPI used in the Week 6 finding.</w:t>
      </w:r>
    </w:p>
    <w:p w14:paraId="43E8E05F" w14:textId="77777777" w:rsidR="00793D9C" w:rsidRDefault="00793D9C" w:rsidP="00793D9C">
      <w:pPr>
        <w:ind w:left="288"/>
        <w:rPr>
          <w:rFonts w:ascii="Cambria" w:hAnsi="Cambria"/>
        </w:rPr>
      </w:pPr>
    </w:p>
    <w:p w14:paraId="57F476E0" w14:textId="77777777" w:rsidR="00793D9C" w:rsidRPr="00573A25" w:rsidRDefault="00793D9C" w:rsidP="00793D9C">
      <w:pPr>
        <w:ind w:left="288"/>
        <w:rPr>
          <w:rFonts w:ascii="Cambria" w:hAnsi="Cambria"/>
        </w:rPr>
      </w:pPr>
    </w:p>
    <w:p w14:paraId="58814B76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lastRenderedPageBreak/>
        <w:t>9. What changed as a result.</w:t>
      </w:r>
    </w:p>
    <w:p w14:paraId="7338D0C5" w14:textId="77777777" w:rsidR="00793D9C" w:rsidRPr="00573A25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>No numerical value changed. The project gained documented validation evidence confirming that the tested KPI can be carried forward.</w:t>
      </w:r>
    </w:p>
    <w:p w14:paraId="65AE0CC6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t>10. Key findings/validation outcomes.</w:t>
      </w:r>
    </w:p>
    <w:p w14:paraId="612D07D5" w14:textId="77777777" w:rsidR="00793D9C" w:rsidRPr="00573A25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>The supplied underlying data supports the three expected grouped rates. The validation therefore confirms the Week 6 finding for this tested KPI without extending that conclusion to untested components.</w:t>
      </w:r>
    </w:p>
    <w:p w14:paraId="1792528B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t>11. Major challenges.</w:t>
      </w:r>
    </w:p>
    <w:p w14:paraId="63756201" w14:textId="77777777" w:rsidR="00793D9C" w:rsidRPr="00573A25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>Coordinating readiness while distinguishing actual technical evidence from planned or expected outputs; maintaining open dependencies where evidence has not yet been supplied.</w:t>
      </w:r>
    </w:p>
    <w:p w14:paraId="293DB374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t>12. Important decisions.</w:t>
      </w:r>
    </w:p>
    <w:p w14:paraId="3F1A42FB" w14:textId="77777777" w:rsidR="00793D9C" w:rsidRPr="00573A25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>Use evidence-based statuses; record the Data Analytics validation as PASS; do not invent an issue where a test passed; keep other technical readiness conditional; address outstanding testing dependencies before Week 8 final integration.</w:t>
      </w:r>
    </w:p>
    <w:p w14:paraId="6D8868DA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t>13. Remaining limitations.</w:t>
      </w:r>
    </w:p>
    <w:p w14:paraId="252B72F3" w14:textId="77777777" w:rsidR="00793D9C" w:rsidRPr="00573A25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 xml:space="preserve">The tested KPI is component-level evidence only. Technical results for Data Science, ML Engineering and Generative AI, including applicable </w:t>
      </w:r>
      <w:proofErr w:type="spellStart"/>
      <w:r w:rsidRPr="00573A25">
        <w:rPr>
          <w:rFonts w:ascii="Cambria" w:hAnsi="Cambria"/>
        </w:rPr>
        <w:t>GenAI</w:t>
      </w:r>
      <w:proofErr w:type="spellEnd"/>
      <w:r w:rsidRPr="00573A25">
        <w:rPr>
          <w:rFonts w:ascii="Cambria" w:hAnsi="Cambria"/>
        </w:rPr>
        <w:t xml:space="preserve"> safety/reliability evidence, remain unverified.</w:t>
      </w:r>
    </w:p>
    <w:p w14:paraId="0EE5A295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t>14. Remaining issues/dependencies.</w:t>
      </w:r>
    </w:p>
    <w:p w14:paraId="1A9ADA7D" w14:textId="77777777" w:rsidR="00793D9C" w:rsidRPr="00573A25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>Outstanding technical testing evidence and full end-to-end validation remain open dependencies for final readiness.</w:t>
      </w:r>
    </w:p>
    <w:p w14:paraId="41BCB544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t>15. PM contribution to the overall HealthConnect project.</w:t>
      </w:r>
    </w:p>
    <w:p w14:paraId="7F82D2F5" w14:textId="77777777" w:rsidR="00793D9C" w:rsidRPr="00573A25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>PM provided structured testing coordination, issue/dependency tracking, risk and decision updates, evidence governance, cross-track validation documentation and a conditional Week 8 readiness gate.</w:t>
      </w:r>
    </w:p>
    <w:p w14:paraId="58E3F85D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  <w:b/>
        </w:rPr>
        <w:t>16. What must be completed before Week 8.</w:t>
      </w:r>
    </w:p>
    <w:p w14:paraId="3CBBEF43" w14:textId="77777777" w:rsidR="00793D9C" w:rsidRPr="00573A25" w:rsidRDefault="00793D9C" w:rsidP="00793D9C">
      <w:pPr>
        <w:ind w:left="288"/>
        <w:rPr>
          <w:rFonts w:ascii="Cambria" w:hAnsi="Cambria"/>
        </w:rPr>
      </w:pPr>
      <w:r w:rsidRPr="00573A25">
        <w:rPr>
          <w:rFonts w:ascii="Cambria" w:hAnsi="Cambria"/>
        </w:rPr>
        <w:t>Obtain and verify outstanding Data Science, ML Engineering and Generative AI evidence; close or manage cross-track dependencies; complete end-to-end validation; finalize integrated documentation and presentation evidence.</w:t>
      </w:r>
    </w:p>
    <w:p w14:paraId="10D6B143" w14:textId="77777777" w:rsidR="00793D9C" w:rsidRPr="00573A25" w:rsidRDefault="00793D9C" w:rsidP="00793D9C">
      <w:pPr>
        <w:pStyle w:val="Heading1"/>
        <w:rPr>
          <w:rFonts w:ascii="Cambria" w:hAnsi="Cambria"/>
        </w:rPr>
      </w:pPr>
      <w:r w:rsidRPr="00573A25">
        <w:rPr>
          <w:rFonts w:ascii="Cambria" w:hAnsi="Cambria"/>
        </w:rPr>
        <w:t>Key Verified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793D9C" w:rsidRPr="00573A25" w14:paraId="7A5EACFB" w14:textId="77777777" w:rsidTr="009C12A1">
        <w:trPr>
          <w:tblHeader/>
          <w:jc w:val="center"/>
        </w:trPr>
        <w:tc>
          <w:tcPr>
            <w:tcW w:w="2520" w:type="dxa"/>
            <w:shd w:val="clear" w:color="auto" w:fill="1F4E78"/>
            <w:vAlign w:val="center"/>
          </w:tcPr>
          <w:p w14:paraId="175B1B9A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b/>
                <w:color w:val="FFFFFF"/>
                <w:sz w:val="17"/>
              </w:rPr>
              <w:t>Previous No Show Group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1D3EA8A2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b/>
                <w:color w:val="FFFFFF"/>
                <w:sz w:val="17"/>
              </w:rPr>
              <w:t>Total Appointment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07D7FF7C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b/>
                <w:color w:val="FFFFFF"/>
                <w:sz w:val="17"/>
              </w:rPr>
              <w:t>No Show Appointment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0470E71B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b/>
                <w:color w:val="FFFFFF"/>
                <w:sz w:val="17"/>
              </w:rPr>
              <w:t>No Show Rate</w:t>
            </w:r>
          </w:p>
        </w:tc>
      </w:tr>
      <w:tr w:rsidR="00793D9C" w:rsidRPr="00573A25" w14:paraId="27A53FB3" w14:textId="77777777" w:rsidTr="009C12A1">
        <w:trPr>
          <w:jc w:val="center"/>
        </w:trPr>
        <w:tc>
          <w:tcPr>
            <w:tcW w:w="2520" w:type="dxa"/>
          </w:tcPr>
          <w:p w14:paraId="1D1EFF8A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0</w:t>
            </w:r>
          </w:p>
        </w:tc>
        <w:tc>
          <w:tcPr>
            <w:tcW w:w="2520" w:type="dxa"/>
          </w:tcPr>
          <w:p w14:paraId="493E0967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2,921</w:t>
            </w:r>
          </w:p>
        </w:tc>
        <w:tc>
          <w:tcPr>
            <w:tcW w:w="2520" w:type="dxa"/>
          </w:tcPr>
          <w:p w14:paraId="6BFB9E11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1,271</w:t>
            </w:r>
          </w:p>
        </w:tc>
        <w:tc>
          <w:tcPr>
            <w:tcW w:w="2520" w:type="dxa"/>
          </w:tcPr>
          <w:p w14:paraId="2EEBD05D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43.5%</w:t>
            </w:r>
          </w:p>
        </w:tc>
      </w:tr>
      <w:tr w:rsidR="00793D9C" w:rsidRPr="00573A25" w14:paraId="2FD0C03E" w14:textId="77777777" w:rsidTr="009C12A1">
        <w:trPr>
          <w:jc w:val="center"/>
        </w:trPr>
        <w:tc>
          <w:tcPr>
            <w:tcW w:w="2520" w:type="dxa"/>
          </w:tcPr>
          <w:p w14:paraId="09898D8C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1–2</w:t>
            </w:r>
          </w:p>
        </w:tc>
        <w:tc>
          <w:tcPr>
            <w:tcW w:w="2520" w:type="dxa"/>
          </w:tcPr>
          <w:p w14:paraId="7D07ED53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1,986</w:t>
            </w:r>
          </w:p>
        </w:tc>
        <w:tc>
          <w:tcPr>
            <w:tcW w:w="2520" w:type="dxa"/>
          </w:tcPr>
          <w:p w14:paraId="34289592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1,088</w:t>
            </w:r>
          </w:p>
        </w:tc>
        <w:tc>
          <w:tcPr>
            <w:tcW w:w="2520" w:type="dxa"/>
          </w:tcPr>
          <w:p w14:paraId="13FEC4CE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54.8%</w:t>
            </w:r>
          </w:p>
        </w:tc>
      </w:tr>
      <w:tr w:rsidR="00793D9C" w:rsidRPr="00573A25" w14:paraId="254B21A6" w14:textId="77777777" w:rsidTr="009C12A1">
        <w:trPr>
          <w:jc w:val="center"/>
        </w:trPr>
        <w:tc>
          <w:tcPr>
            <w:tcW w:w="2520" w:type="dxa"/>
          </w:tcPr>
          <w:p w14:paraId="766BE735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3+</w:t>
            </w:r>
          </w:p>
        </w:tc>
        <w:tc>
          <w:tcPr>
            <w:tcW w:w="2520" w:type="dxa"/>
          </w:tcPr>
          <w:p w14:paraId="2491D08B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93</w:t>
            </w:r>
          </w:p>
        </w:tc>
        <w:tc>
          <w:tcPr>
            <w:tcW w:w="2520" w:type="dxa"/>
          </w:tcPr>
          <w:p w14:paraId="08FA3ABE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64</w:t>
            </w:r>
          </w:p>
        </w:tc>
        <w:tc>
          <w:tcPr>
            <w:tcW w:w="2520" w:type="dxa"/>
          </w:tcPr>
          <w:p w14:paraId="02AC4120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68.8%</w:t>
            </w:r>
          </w:p>
        </w:tc>
      </w:tr>
      <w:tr w:rsidR="00793D9C" w:rsidRPr="00573A25" w14:paraId="224A7646" w14:textId="77777777" w:rsidTr="009C12A1">
        <w:trPr>
          <w:jc w:val="center"/>
        </w:trPr>
        <w:tc>
          <w:tcPr>
            <w:tcW w:w="2520" w:type="dxa"/>
          </w:tcPr>
          <w:p w14:paraId="4E56998D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Total</w:t>
            </w:r>
          </w:p>
        </w:tc>
        <w:tc>
          <w:tcPr>
            <w:tcW w:w="2520" w:type="dxa"/>
          </w:tcPr>
          <w:p w14:paraId="6B4D8233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5,000</w:t>
            </w:r>
          </w:p>
        </w:tc>
        <w:tc>
          <w:tcPr>
            <w:tcW w:w="2520" w:type="dxa"/>
          </w:tcPr>
          <w:p w14:paraId="1788BF6A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2,423</w:t>
            </w:r>
          </w:p>
        </w:tc>
        <w:tc>
          <w:tcPr>
            <w:tcW w:w="2520" w:type="dxa"/>
          </w:tcPr>
          <w:p w14:paraId="7423F3BC" w14:textId="77777777" w:rsidR="00793D9C" w:rsidRPr="00573A25" w:rsidRDefault="00793D9C" w:rsidP="009C12A1">
            <w:pPr>
              <w:spacing w:after="40"/>
              <w:rPr>
                <w:rFonts w:ascii="Cambria" w:hAnsi="Cambria"/>
              </w:rPr>
            </w:pPr>
            <w:r w:rsidRPr="00573A25">
              <w:rPr>
                <w:rFonts w:ascii="Cambria" w:hAnsi="Cambria"/>
                <w:sz w:val="17"/>
              </w:rPr>
              <w:t>48.5%</w:t>
            </w:r>
          </w:p>
        </w:tc>
      </w:tr>
    </w:tbl>
    <w:p w14:paraId="1DA82264" w14:textId="77777777" w:rsidR="00793D9C" w:rsidRPr="00573A25" w:rsidRDefault="00793D9C" w:rsidP="00793D9C">
      <w:pPr>
        <w:rPr>
          <w:rFonts w:ascii="Cambria" w:hAnsi="Cambria"/>
        </w:rPr>
      </w:pPr>
      <w:r w:rsidRPr="00573A25">
        <w:rPr>
          <w:rFonts w:ascii="Cambria" w:hAnsi="Cambria"/>
        </w:rPr>
        <w:t>Evidence status: PASS for the tested Data Analytics KPI. Overall HealthConnect project readiness remains CONDITIONAL because other required technical evidence and end-to-end validation are still pending.</w:t>
      </w:r>
    </w:p>
    <w:p w14:paraId="6EF5FEC2" w14:textId="2D81BCCB" w:rsidR="00F30C3F" w:rsidRDefault="00F30C3F"/>
    <w:sectPr w:rsidR="00F30C3F" w:rsidSect="00034616">
      <w:footerReference w:type="default" r:id="rId4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C0A54" w14:textId="77777777" w:rsidR="00760A4E" w:rsidRDefault="00DC632A">
    <w:pPr>
      <w:pStyle w:val="Footer"/>
      <w:jc w:val="center"/>
      <w:rPr>
        <w:rFonts w:hint="eastAsia"/>
      </w:rPr>
    </w:pPr>
    <w:r>
      <w:t>HealthConnect Clinic Experience Lab | Week 7 Project Management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17"/>
    <w:rsid w:val="00793D9C"/>
    <w:rsid w:val="00A04D8F"/>
    <w:rsid w:val="00DC632A"/>
    <w:rsid w:val="00EF3B17"/>
    <w:rsid w:val="00F3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6495"/>
  <w15:chartTrackingRefBased/>
  <w15:docId w15:val="{D93C2C8D-1FD0-4B14-8FDF-FDE9AEF42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D9C"/>
    <w:pPr>
      <w:spacing w:after="200" w:line="276" w:lineRule="auto"/>
    </w:pPr>
    <w:rPr>
      <w:rFonts w:ascii="Aptos" w:eastAsiaTheme="minorEastAsia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D9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D9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793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D9C"/>
    <w:rPr>
      <w:rFonts w:ascii="Aptos" w:eastAsiaTheme="minorEastAsia" w:hAnsi="Aptos"/>
      <w:sz w:val="20"/>
    </w:rPr>
  </w:style>
  <w:style w:type="table" w:styleId="TableGrid">
    <w:name w:val="Table Grid"/>
    <w:basedOn w:val="TableNormal"/>
    <w:uiPriority w:val="59"/>
    <w:rsid w:val="00793D9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OKafor</dc:creator>
  <cp:keywords/>
  <dc:description/>
  <cp:lastModifiedBy>Felix OKafor</cp:lastModifiedBy>
  <cp:revision>7</cp:revision>
  <dcterms:created xsi:type="dcterms:W3CDTF">2026-09-19T18:29:00Z</dcterms:created>
  <dcterms:modified xsi:type="dcterms:W3CDTF">2026-09-19T18:32:00Z</dcterms:modified>
</cp:coreProperties>
</file>