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5BCF" w:rsidRDefault="00A779E9">
      <w:pPr>
        <w:spacing w:before="57" w:line="360" w:lineRule="auto"/>
        <w:ind w:left="307" w:right="308"/>
        <w:jc w:val="center"/>
        <w:rPr>
          <w:b/>
          <w:sz w:val="40"/>
        </w:rPr>
      </w:pPr>
      <w:r>
        <w:rPr>
          <w:b/>
          <w:noProof/>
          <w:sz w:val="40"/>
        </w:rPr>
        <w:drawing>
          <wp:anchor distT="0" distB="0" distL="0" distR="0" simplePos="0" relativeHeight="487587840" behindDoc="1" locked="0" layoutInCell="1" allowOverlap="1">
            <wp:simplePos x="0" y="0"/>
            <wp:positionH relativeFrom="page">
              <wp:posOffset>3190875</wp:posOffset>
            </wp:positionH>
            <wp:positionV relativeFrom="paragraph">
              <wp:posOffset>937767</wp:posOffset>
            </wp:positionV>
            <wp:extent cx="1384950" cy="161391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384950" cy="1613916"/>
                    </a:xfrm>
                    <a:prstGeom prst="rect">
                      <a:avLst/>
                    </a:prstGeom>
                  </pic:spPr>
                </pic:pic>
              </a:graphicData>
            </a:graphic>
          </wp:anchor>
        </w:drawing>
      </w:r>
      <w:r>
        <w:rPr>
          <w:b/>
          <w:sz w:val="40"/>
        </w:rPr>
        <w:t>UNIVERSIDAD</w:t>
      </w:r>
      <w:r>
        <w:rPr>
          <w:b/>
          <w:spacing w:val="-10"/>
          <w:sz w:val="40"/>
        </w:rPr>
        <w:t xml:space="preserve"> </w:t>
      </w:r>
      <w:r>
        <w:rPr>
          <w:b/>
          <w:sz w:val="40"/>
        </w:rPr>
        <w:t>NACIONAL</w:t>
      </w:r>
      <w:r>
        <w:rPr>
          <w:b/>
          <w:spacing w:val="-10"/>
          <w:sz w:val="40"/>
        </w:rPr>
        <w:t xml:space="preserve"> </w:t>
      </w:r>
      <w:r>
        <w:rPr>
          <w:b/>
          <w:sz w:val="40"/>
        </w:rPr>
        <w:t>MAYOR</w:t>
      </w:r>
      <w:r>
        <w:rPr>
          <w:b/>
          <w:spacing w:val="-12"/>
          <w:sz w:val="40"/>
        </w:rPr>
        <w:t xml:space="preserve"> </w:t>
      </w:r>
      <w:r>
        <w:rPr>
          <w:b/>
          <w:sz w:val="40"/>
        </w:rPr>
        <w:t>DE</w:t>
      </w:r>
      <w:r>
        <w:rPr>
          <w:b/>
          <w:spacing w:val="-10"/>
          <w:sz w:val="40"/>
        </w:rPr>
        <w:t xml:space="preserve"> </w:t>
      </w:r>
      <w:r>
        <w:rPr>
          <w:b/>
          <w:sz w:val="40"/>
        </w:rPr>
        <w:t xml:space="preserve">SAN </w:t>
      </w:r>
      <w:r>
        <w:rPr>
          <w:b/>
          <w:spacing w:val="-2"/>
          <w:sz w:val="40"/>
        </w:rPr>
        <w:t>MARCOS</w:t>
      </w:r>
    </w:p>
    <w:p w:rsidR="00C05BCF" w:rsidRDefault="00A779E9">
      <w:pPr>
        <w:pStyle w:val="Ttulo1"/>
        <w:spacing w:line="360" w:lineRule="auto"/>
      </w:pPr>
      <w:r>
        <w:t>Doctoral</w:t>
      </w:r>
      <w:r>
        <w:rPr>
          <w:spacing w:val="-7"/>
        </w:rPr>
        <w:t xml:space="preserve"> </w:t>
      </w:r>
      <w:r>
        <w:t>Program</w:t>
      </w:r>
      <w:r>
        <w:rPr>
          <w:spacing w:val="-8"/>
        </w:rPr>
        <w:t xml:space="preserve"> </w:t>
      </w:r>
      <w:r>
        <w:t>in</w:t>
      </w:r>
      <w:r>
        <w:rPr>
          <w:spacing w:val="-9"/>
        </w:rPr>
        <w:t xml:space="preserve"> </w:t>
      </w:r>
      <w:r>
        <w:t>Deep</w:t>
      </w:r>
      <w:r>
        <w:rPr>
          <w:spacing w:val="-9"/>
        </w:rPr>
        <w:t xml:space="preserve"> </w:t>
      </w:r>
      <w:r>
        <w:t>Tech,</w:t>
      </w:r>
      <w:r>
        <w:rPr>
          <w:spacing w:val="-8"/>
        </w:rPr>
        <w:t xml:space="preserve"> </w:t>
      </w:r>
      <w:r>
        <w:t>Artificial Intelligence &amp; Emerging Technologies</w:t>
      </w:r>
    </w:p>
    <w:p w:rsidR="00C05BCF" w:rsidRDefault="00C05BCF">
      <w:pPr>
        <w:pStyle w:val="Textoindependiente"/>
        <w:spacing w:before="104"/>
        <w:rPr>
          <w:b/>
          <w:sz w:val="48"/>
        </w:rPr>
      </w:pPr>
    </w:p>
    <w:p w:rsidR="00C05BCF" w:rsidRDefault="00A779E9">
      <w:pPr>
        <w:spacing w:line="360" w:lineRule="auto"/>
        <w:ind w:left="307" w:right="308"/>
        <w:jc w:val="center"/>
        <w:rPr>
          <w:b/>
          <w:sz w:val="40"/>
        </w:rPr>
      </w:pPr>
      <w:r>
        <w:rPr>
          <w:b/>
          <w:sz w:val="40"/>
        </w:rPr>
        <w:t>Research</w:t>
      </w:r>
      <w:r>
        <w:rPr>
          <w:b/>
          <w:spacing w:val="-7"/>
          <w:sz w:val="40"/>
        </w:rPr>
        <w:t xml:space="preserve"> </w:t>
      </w:r>
      <w:r>
        <w:rPr>
          <w:b/>
          <w:sz w:val="40"/>
        </w:rPr>
        <w:t>Methods</w:t>
      </w:r>
      <w:r>
        <w:rPr>
          <w:b/>
          <w:spacing w:val="-7"/>
          <w:sz w:val="40"/>
        </w:rPr>
        <w:t xml:space="preserve"> </w:t>
      </w:r>
      <w:r>
        <w:rPr>
          <w:b/>
          <w:sz w:val="40"/>
        </w:rPr>
        <w:t>and</w:t>
      </w:r>
      <w:r>
        <w:rPr>
          <w:b/>
          <w:spacing w:val="-7"/>
          <w:sz w:val="40"/>
        </w:rPr>
        <w:t xml:space="preserve"> </w:t>
      </w:r>
      <w:r>
        <w:rPr>
          <w:b/>
          <w:sz w:val="40"/>
        </w:rPr>
        <w:t>Scientific</w:t>
      </w:r>
      <w:r>
        <w:rPr>
          <w:b/>
          <w:spacing w:val="-7"/>
          <w:sz w:val="40"/>
        </w:rPr>
        <w:t xml:space="preserve"> </w:t>
      </w:r>
      <w:r>
        <w:rPr>
          <w:b/>
          <w:sz w:val="40"/>
        </w:rPr>
        <w:t>Integrity</w:t>
      </w:r>
      <w:r>
        <w:rPr>
          <w:b/>
          <w:spacing w:val="-5"/>
          <w:sz w:val="40"/>
        </w:rPr>
        <w:t xml:space="preserve"> </w:t>
      </w:r>
      <w:r>
        <w:rPr>
          <w:b/>
          <w:sz w:val="40"/>
        </w:rPr>
        <w:t>in</w:t>
      </w:r>
      <w:r>
        <w:rPr>
          <w:b/>
          <w:spacing w:val="-5"/>
          <w:sz w:val="40"/>
        </w:rPr>
        <w:t xml:space="preserve"> </w:t>
      </w:r>
      <w:r>
        <w:rPr>
          <w:b/>
          <w:sz w:val="40"/>
        </w:rPr>
        <w:t>AI and Advanced Technologies</w:t>
      </w:r>
    </w:p>
    <w:p w:rsidR="00C05BCF" w:rsidRDefault="00A779E9" w:rsidP="00A779E9">
      <w:pPr>
        <w:spacing w:before="381" w:line="391" w:lineRule="auto"/>
        <w:ind w:right="4"/>
        <w:jc w:val="center"/>
        <w:rPr>
          <w:b/>
          <w:sz w:val="27"/>
        </w:rPr>
      </w:pPr>
      <w:r>
        <w:rPr>
          <w:b/>
          <w:sz w:val="27"/>
        </w:rPr>
        <w:t>DELIVERABLE No. 2: METHOD FIT MATRIX</w:t>
      </w:r>
    </w:p>
    <w:p w:rsidR="00C05BCF" w:rsidRDefault="00C05BCF">
      <w:pPr>
        <w:pStyle w:val="Textoindependiente"/>
        <w:rPr>
          <w:b/>
          <w:sz w:val="27"/>
        </w:rPr>
      </w:pPr>
    </w:p>
    <w:p w:rsidR="00C05BCF" w:rsidRDefault="00C05BCF">
      <w:pPr>
        <w:pStyle w:val="Textoindependiente"/>
        <w:spacing w:before="131"/>
        <w:rPr>
          <w:b/>
          <w:sz w:val="27"/>
        </w:rPr>
      </w:pPr>
    </w:p>
    <w:p w:rsidR="00C05BCF" w:rsidRDefault="00A779E9">
      <w:pPr>
        <w:tabs>
          <w:tab w:val="left" w:pos="3204"/>
        </w:tabs>
        <w:ind w:left="530"/>
        <w:rPr>
          <w:b/>
          <w:sz w:val="27"/>
        </w:rPr>
      </w:pPr>
      <w:r>
        <w:rPr>
          <w:b/>
          <w:sz w:val="27"/>
        </w:rPr>
        <w:t>Course</w:t>
      </w:r>
      <w:r>
        <w:rPr>
          <w:b/>
          <w:spacing w:val="-3"/>
          <w:sz w:val="27"/>
        </w:rPr>
        <w:t xml:space="preserve"> </w:t>
      </w:r>
      <w:r>
        <w:rPr>
          <w:b/>
          <w:spacing w:val="-2"/>
          <w:sz w:val="27"/>
        </w:rPr>
        <w:t>Instructor</w:t>
      </w:r>
      <w:r>
        <w:rPr>
          <w:b/>
          <w:sz w:val="27"/>
        </w:rPr>
        <w:tab/>
        <w:t>Dr.</w:t>
      </w:r>
      <w:r>
        <w:rPr>
          <w:b/>
          <w:spacing w:val="-5"/>
          <w:sz w:val="27"/>
        </w:rPr>
        <w:t xml:space="preserve"> </w:t>
      </w:r>
      <w:r>
        <w:rPr>
          <w:b/>
          <w:sz w:val="27"/>
        </w:rPr>
        <w:t>Loveleen</w:t>
      </w:r>
      <w:r>
        <w:rPr>
          <w:b/>
          <w:spacing w:val="-6"/>
          <w:sz w:val="27"/>
        </w:rPr>
        <w:t xml:space="preserve"> </w:t>
      </w:r>
      <w:r>
        <w:rPr>
          <w:b/>
          <w:spacing w:val="-4"/>
          <w:sz w:val="27"/>
        </w:rPr>
        <w:t>Gaur</w:t>
      </w:r>
    </w:p>
    <w:p w:rsidR="00C05BCF" w:rsidRDefault="00C05BCF">
      <w:pPr>
        <w:pStyle w:val="Textoindependiente"/>
        <w:spacing w:before="133"/>
        <w:rPr>
          <w:b/>
          <w:sz w:val="27"/>
        </w:rPr>
      </w:pPr>
    </w:p>
    <w:p w:rsidR="00C05BCF" w:rsidRDefault="00A779E9">
      <w:pPr>
        <w:tabs>
          <w:tab w:val="left" w:pos="3204"/>
        </w:tabs>
        <w:ind w:left="530"/>
        <w:rPr>
          <w:b/>
          <w:sz w:val="27"/>
        </w:rPr>
      </w:pPr>
      <w:r>
        <w:rPr>
          <w:b/>
          <w:spacing w:val="-2"/>
          <w:sz w:val="27"/>
        </w:rPr>
        <w:t>Student</w:t>
      </w:r>
      <w:r>
        <w:rPr>
          <w:b/>
          <w:sz w:val="27"/>
        </w:rPr>
        <w:tab/>
        <w:t>Félix Richar Mendoza Pumacahua</w:t>
      </w:r>
    </w:p>
    <w:p w:rsidR="00C05BCF" w:rsidRDefault="00C05BCF">
      <w:pPr>
        <w:pStyle w:val="Textoindependiente"/>
        <w:rPr>
          <w:b/>
          <w:sz w:val="27"/>
        </w:rPr>
      </w:pPr>
    </w:p>
    <w:p w:rsidR="00C05BCF" w:rsidRDefault="00C05BCF">
      <w:pPr>
        <w:pStyle w:val="Textoindependiente"/>
        <w:rPr>
          <w:b/>
          <w:sz w:val="27"/>
        </w:rPr>
      </w:pPr>
    </w:p>
    <w:p w:rsidR="00C05BCF" w:rsidRDefault="00C05BCF">
      <w:pPr>
        <w:pStyle w:val="Textoindependiente"/>
        <w:spacing w:before="270"/>
        <w:rPr>
          <w:b/>
          <w:sz w:val="27"/>
        </w:rPr>
      </w:pPr>
    </w:p>
    <w:p w:rsidR="00C05BCF" w:rsidRDefault="00A779E9">
      <w:pPr>
        <w:pStyle w:val="Ttulo2"/>
      </w:pPr>
      <w:r>
        <w:t>2026</w:t>
      </w:r>
      <w:r>
        <w:rPr>
          <w:spacing w:val="-2"/>
        </w:rPr>
        <w:t xml:space="preserve"> </w:t>
      </w:r>
      <w:r>
        <w:t>-</w:t>
      </w:r>
      <w:r>
        <w:rPr>
          <w:spacing w:val="-1"/>
        </w:rPr>
        <w:t xml:space="preserve"> </w:t>
      </w:r>
      <w:r>
        <w:rPr>
          <w:spacing w:val="-5"/>
        </w:rPr>
        <w:t>II</w:t>
      </w:r>
    </w:p>
    <w:p w:rsidR="00C05BCF" w:rsidRDefault="00C05BCF">
      <w:pPr>
        <w:pStyle w:val="Textoindependiente"/>
        <w:rPr>
          <w:b/>
          <w:sz w:val="21"/>
        </w:rPr>
      </w:pPr>
    </w:p>
    <w:p w:rsidR="00C05BCF" w:rsidRDefault="00C05BCF">
      <w:pPr>
        <w:pStyle w:val="Textoindependiente"/>
        <w:rPr>
          <w:b/>
          <w:sz w:val="21"/>
        </w:rPr>
      </w:pPr>
    </w:p>
    <w:p w:rsidR="00C05BCF" w:rsidRDefault="00C05BCF">
      <w:pPr>
        <w:pStyle w:val="Textoindependiente"/>
        <w:rPr>
          <w:b/>
          <w:sz w:val="21"/>
        </w:rPr>
      </w:pPr>
    </w:p>
    <w:p w:rsidR="00C05BCF" w:rsidRDefault="00C05BCF">
      <w:pPr>
        <w:pStyle w:val="Textoindependiente"/>
        <w:spacing w:before="29"/>
        <w:rPr>
          <w:b/>
          <w:sz w:val="21"/>
        </w:rPr>
      </w:pPr>
    </w:p>
    <w:p w:rsidR="00C05BCF" w:rsidRDefault="00A779E9">
      <w:pPr>
        <w:spacing w:before="1"/>
        <w:ind w:right="257"/>
        <w:jc w:val="right"/>
        <w:rPr>
          <w:rFonts w:ascii="Trebuchet MS"/>
          <w:sz w:val="21"/>
        </w:rPr>
      </w:pPr>
      <w:r>
        <w:rPr>
          <w:rFonts w:ascii="Trebuchet MS"/>
          <w:color w:val="1F2937"/>
          <w:spacing w:val="-10"/>
          <w:sz w:val="21"/>
        </w:rPr>
        <w:t>1</w:t>
      </w:r>
    </w:p>
    <w:p w:rsidR="00C05BCF" w:rsidRDefault="00C05BCF">
      <w:pPr>
        <w:jc w:val="right"/>
        <w:rPr>
          <w:rFonts w:ascii="Trebuchet MS"/>
          <w:sz w:val="21"/>
        </w:rPr>
        <w:sectPr w:rsidR="00C05BCF">
          <w:type w:val="continuous"/>
          <w:pgSz w:w="12240" w:h="15840"/>
          <w:pgMar w:top="1360" w:right="1440" w:bottom="280" w:left="1440" w:header="720" w:footer="720" w:gutter="0"/>
          <w:cols w:space="720"/>
        </w:sectPr>
      </w:pPr>
    </w:p>
    <w:p w:rsidR="00C05BCF" w:rsidRDefault="00A779E9">
      <w:pPr>
        <w:spacing w:before="73" w:line="276" w:lineRule="auto"/>
        <w:ind w:left="982" w:right="575"/>
        <w:rPr>
          <w:sz w:val="24"/>
        </w:rPr>
      </w:pPr>
      <w:r>
        <w:rPr>
          <w:b/>
          <w:sz w:val="24"/>
        </w:rPr>
        <w:lastRenderedPageBreak/>
        <w:t xml:space="preserve">Scoped research question: </w:t>
      </w:r>
      <w:r>
        <w:rPr>
          <w:sz w:val="24"/>
        </w:rPr>
        <w:t>How should a reference architecture based on specialized generative AI agents be structured to automate and verify the development of critical state information systems, ensuring their compliance with the enterprise architecture and applicable regulations?</w:t>
      </w:r>
    </w:p>
    <w:p w:rsidR="00C05BCF" w:rsidRDefault="00C05BCF">
      <w:pPr>
        <w:pStyle w:val="Textoindependiente"/>
        <w:rPr>
          <w:sz w:val="7"/>
        </w:rPr>
      </w:pPr>
    </w:p>
    <w:tbl>
      <w:tblPr>
        <w:tblStyle w:val="TableNormal"/>
        <w:tblW w:w="0" w:type="auto"/>
        <w:tblInd w:w="15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1E0" w:firstRow="1" w:lastRow="1" w:firstColumn="1" w:lastColumn="1" w:noHBand="0" w:noVBand="0"/>
      </w:tblPr>
      <w:tblGrid>
        <w:gridCol w:w="2537"/>
        <w:gridCol w:w="2693"/>
        <w:gridCol w:w="2837"/>
        <w:gridCol w:w="2976"/>
        <w:gridCol w:w="3065"/>
      </w:tblGrid>
      <w:tr w:rsidR="00F930B0">
        <w:trPr>
          <w:trHeight w:val="500"/>
        </w:trPr>
        <w:tc>
          <w:tcPr>
            <w:tcW w:w="2537" w:type="dxa"/>
            <w:shd w:val="clear" w:color="auto" w:fill="17365D"/>
            <w:vAlign w:val="center"/>
          </w:tcPr>
          <w:p w:rsidR="00F930B0" w:rsidRDefault="00D258C6">
            <w:pPr>
              <w:pStyle w:val="TableParagraph"/>
              <w:spacing w:before="30" w:after="30" w:line="248" w:lineRule="auto"/>
              <w:ind w:left="120" w:right="90"/>
              <w:rPr>
                <w:sz w:val="20"/>
              </w:rPr>
            </w:pPr>
            <w:r>
              <w:rPr>
                <w:b/>
                <w:color w:val="FFFFFF"/>
                <w:sz w:val="20"/>
              </w:rPr>
              <w:t>Criterion / Weight</w:t>
            </w:r>
          </w:p>
        </w:tc>
        <w:tc>
          <w:tcPr>
            <w:tcW w:w="2693" w:type="dxa"/>
            <w:shd w:val="clear" w:color="auto" w:fill="17365D"/>
            <w:vAlign w:val="center"/>
          </w:tcPr>
          <w:p w:rsidR="00F930B0" w:rsidRDefault="00D258C6">
            <w:pPr>
              <w:pStyle w:val="TableParagraph"/>
              <w:spacing w:before="30" w:after="30" w:line="248" w:lineRule="auto"/>
              <w:ind w:left="90" w:right="90"/>
              <w:jc w:val="center"/>
              <w:rPr>
                <w:sz w:val="20"/>
              </w:rPr>
            </w:pPr>
            <w:r>
              <w:rPr>
                <w:b/>
                <w:color w:val="FFFFFF"/>
                <w:sz w:val="20"/>
              </w:rPr>
              <w:t>Pure Experiment</w:t>
            </w:r>
          </w:p>
        </w:tc>
        <w:tc>
          <w:tcPr>
            <w:tcW w:w="2837" w:type="dxa"/>
            <w:shd w:val="clear" w:color="auto" w:fill="17365D"/>
            <w:vAlign w:val="center"/>
          </w:tcPr>
          <w:p w:rsidR="00F930B0" w:rsidRDefault="00D258C6">
            <w:pPr>
              <w:pStyle w:val="TableParagraph"/>
              <w:spacing w:before="30" w:after="30" w:line="248" w:lineRule="auto"/>
              <w:ind w:left="90" w:right="90"/>
              <w:jc w:val="center"/>
              <w:rPr>
                <w:sz w:val="20"/>
              </w:rPr>
            </w:pPr>
            <w:r>
              <w:rPr>
                <w:b/>
                <w:color w:val="FFFFFF"/>
                <w:sz w:val="20"/>
              </w:rPr>
              <w:t>Simulation</w:t>
            </w:r>
          </w:p>
        </w:tc>
        <w:tc>
          <w:tcPr>
            <w:tcW w:w="2976" w:type="dxa"/>
            <w:shd w:val="clear" w:color="auto" w:fill="17365D"/>
            <w:vAlign w:val="center"/>
          </w:tcPr>
          <w:p w:rsidR="00F930B0" w:rsidRDefault="00D258C6">
            <w:pPr>
              <w:pStyle w:val="TableParagraph"/>
              <w:spacing w:before="30" w:after="30" w:line="248" w:lineRule="auto"/>
              <w:ind w:left="90" w:right="90"/>
              <w:jc w:val="center"/>
              <w:rPr>
                <w:sz w:val="20"/>
              </w:rPr>
            </w:pPr>
            <w:r>
              <w:rPr>
                <w:b/>
                <w:color w:val="FFFFFF"/>
                <w:sz w:val="20"/>
              </w:rPr>
              <w:t>Mixed Methods</w:t>
            </w:r>
          </w:p>
        </w:tc>
        <w:tc>
          <w:tcPr>
            <w:tcW w:w="3065" w:type="dxa"/>
            <w:shd w:val="clear" w:color="auto" w:fill="17365D"/>
            <w:vAlign w:val="center"/>
          </w:tcPr>
          <w:p w:rsidR="00F930B0" w:rsidRDefault="00D258C6">
            <w:pPr>
              <w:pStyle w:val="TableParagraph"/>
              <w:spacing w:before="30" w:after="30" w:line="248" w:lineRule="auto"/>
              <w:ind w:left="90" w:right="90"/>
              <w:jc w:val="center"/>
              <w:rPr>
                <w:sz w:val="20"/>
              </w:rPr>
            </w:pPr>
            <w:r>
              <w:rPr>
                <w:b/>
                <w:color w:val="FFFFFF"/>
                <w:sz w:val="20"/>
              </w:rPr>
              <w:t>Design Science Research</w:t>
            </w:r>
          </w:p>
        </w:tc>
      </w:tr>
      <w:tr w:rsidR="00F930B0">
        <w:trPr>
          <w:trHeight w:val="1050"/>
        </w:trPr>
        <w:tc>
          <w:tcPr>
            <w:tcW w:w="2537" w:type="dxa"/>
            <w:shd w:val="clear" w:color="auto" w:fill="D9EAF7"/>
            <w:vAlign w:val="center"/>
          </w:tcPr>
          <w:p w:rsidR="00F930B0" w:rsidRDefault="00D258C6">
            <w:pPr>
              <w:pStyle w:val="TableParagraph"/>
              <w:spacing w:before="30" w:after="30" w:line="248" w:lineRule="auto"/>
              <w:ind w:left="90" w:right="90"/>
              <w:rPr>
                <w:sz w:val="20"/>
              </w:rPr>
            </w:pPr>
            <w:r>
              <w:rPr>
                <w:b/>
                <w:sz w:val="20"/>
              </w:rPr>
              <w:t>E: Epistemological Fit (30%)</w:t>
            </w:r>
          </w:p>
        </w:tc>
        <w:tc>
          <w:tcPr>
            <w:tcW w:w="2693" w:type="dxa"/>
            <w:shd w:val="clear" w:color="auto" w:fill="FFF3DF"/>
            <w:vAlign w:val="center"/>
          </w:tcPr>
          <w:p w:rsidR="00F930B0" w:rsidRDefault="00D258C6">
            <w:pPr>
              <w:pStyle w:val="TableParagraph"/>
              <w:spacing w:before="30" w:after="30" w:line="248" w:lineRule="auto"/>
              <w:ind w:left="90" w:right="90"/>
              <w:rPr>
                <w:sz w:val="20"/>
              </w:rPr>
            </w:pPr>
            <w:r>
              <w:rPr>
                <w:b/>
                <w:sz w:val="20"/>
              </w:rPr>
              <w:t xml:space="preserve">3/5 </w:t>
            </w:r>
            <w:r w:rsidR="004F6B90">
              <w:rPr>
                <w:b/>
                <w:sz w:val="20"/>
              </w:rPr>
              <w:t>-</w:t>
            </w:r>
            <w:r>
              <w:rPr>
                <w:b/>
                <w:sz w:val="20"/>
              </w:rPr>
              <w:t xml:space="preserve"> </w:t>
            </w:r>
            <w:r>
              <w:rPr>
                <w:sz w:val="20"/>
              </w:rPr>
              <w:t>Can test causal effects (e.g., whether separating generation and verification lowers defects), but does not govern the design of the reference-architecture artifact.</w:t>
            </w:r>
          </w:p>
        </w:tc>
        <w:tc>
          <w:tcPr>
            <w:tcW w:w="2837" w:type="dxa"/>
            <w:shd w:val="clear" w:color="auto" w:fill="FBE8E6"/>
            <w:vAlign w:val="center"/>
          </w:tcPr>
          <w:p w:rsidR="00F930B0" w:rsidRDefault="00D258C6">
            <w:pPr>
              <w:pStyle w:val="TableParagraph"/>
              <w:spacing w:before="30" w:after="30" w:line="248" w:lineRule="auto"/>
              <w:ind w:left="90" w:right="90"/>
              <w:rPr>
                <w:sz w:val="20"/>
              </w:rPr>
            </w:pPr>
            <w:r>
              <w:rPr>
                <w:b/>
                <w:sz w:val="20"/>
              </w:rPr>
              <w:t xml:space="preserve">2/5 </w:t>
            </w:r>
            <w:r w:rsidR="004F6B90">
              <w:rPr>
                <w:b/>
                <w:sz w:val="20"/>
              </w:rPr>
              <w:t>-</w:t>
            </w:r>
            <w:r>
              <w:rPr>
                <w:b/>
                <w:sz w:val="20"/>
              </w:rPr>
              <w:t xml:space="preserve"> </w:t>
            </w:r>
            <w:r>
              <w:rPr>
                <w:sz w:val="20"/>
              </w:rPr>
              <w:t>Can model the agent pipeline and inject faults, yet fits weakly with a knowledge claim about a real, governed artifact under enterprise-architecture and regulatory constraints.</w:t>
            </w:r>
          </w:p>
        </w:tc>
        <w:tc>
          <w:tcPr>
            <w:tcW w:w="2976" w:type="dxa"/>
            <w:shd w:val="clear" w:color="auto" w:fill="E6F4EA"/>
            <w:vAlign w:val="center"/>
          </w:tcPr>
          <w:p w:rsidR="00F930B0" w:rsidRDefault="00D258C6">
            <w:pPr>
              <w:pStyle w:val="TableParagraph"/>
              <w:spacing w:before="30" w:after="30" w:line="248" w:lineRule="auto"/>
              <w:ind w:left="90" w:right="90"/>
              <w:rPr>
                <w:sz w:val="20"/>
              </w:rPr>
            </w:pPr>
            <w:r>
              <w:rPr>
                <w:b/>
                <w:sz w:val="20"/>
              </w:rPr>
              <w:t xml:space="preserve">4/5 </w:t>
            </w:r>
            <w:r w:rsidR="004F6B90">
              <w:rPr>
                <w:b/>
                <w:sz w:val="20"/>
              </w:rPr>
              <w:t>-</w:t>
            </w:r>
            <w:r>
              <w:rPr>
                <w:b/>
                <w:sz w:val="20"/>
              </w:rPr>
              <w:t xml:space="preserve"> </w:t>
            </w:r>
            <w:r>
              <w:rPr>
                <w:sz w:val="20"/>
              </w:rPr>
              <w:t>Integrates quantitative and qualitative evidence, but is broader than</w:t>
            </w:r>
            <w:r w:rsidR="004F6B90">
              <w:rPr>
                <w:sz w:val="20"/>
              </w:rPr>
              <w:t>-</w:t>
            </w:r>
            <w:r>
              <w:rPr>
                <w:sz w:val="20"/>
              </w:rPr>
              <w:t>and</w:t>
            </w:r>
            <w:r>
              <w:rPr>
                <w:sz w:val="20"/>
              </w:rPr>
              <w:t xml:space="preserve"> does not itself produce</w:t>
            </w:r>
            <w:r w:rsidR="004F6B90">
              <w:rPr>
                <w:sz w:val="20"/>
              </w:rPr>
              <w:t>-</w:t>
            </w:r>
            <w:r>
              <w:rPr>
                <w:sz w:val="20"/>
              </w:rPr>
              <w:t>the core design contribution.</w:t>
            </w:r>
          </w:p>
        </w:tc>
        <w:tc>
          <w:tcPr>
            <w:tcW w:w="3065" w:type="dxa"/>
            <w:shd w:val="clear" w:color="auto" w:fill="E6F4EA"/>
            <w:vAlign w:val="center"/>
          </w:tcPr>
          <w:p w:rsidR="00F930B0" w:rsidRDefault="00D258C6">
            <w:pPr>
              <w:pStyle w:val="TableParagraph"/>
              <w:spacing w:before="30" w:after="30" w:line="248" w:lineRule="auto"/>
              <w:ind w:left="90" w:right="90"/>
              <w:rPr>
                <w:sz w:val="20"/>
              </w:rPr>
            </w:pPr>
            <w:r>
              <w:rPr>
                <w:b/>
                <w:sz w:val="20"/>
              </w:rPr>
              <w:t xml:space="preserve">5/5 </w:t>
            </w:r>
            <w:r w:rsidR="004F6B90">
              <w:rPr>
                <w:b/>
                <w:sz w:val="20"/>
              </w:rPr>
              <w:t>-</w:t>
            </w:r>
            <w:r>
              <w:rPr>
                <w:b/>
                <w:sz w:val="20"/>
              </w:rPr>
              <w:t xml:space="preserve"> </w:t>
            </w:r>
            <w:r>
              <w:rPr>
                <w:sz w:val="20"/>
              </w:rPr>
              <w:t>Natural fit: knowledge is generated by building and evaluating the reference-architecture artifact.</w:t>
            </w:r>
          </w:p>
        </w:tc>
      </w:tr>
      <w:tr w:rsidR="00F930B0">
        <w:trPr>
          <w:trHeight w:val="1050"/>
        </w:trPr>
        <w:tc>
          <w:tcPr>
            <w:tcW w:w="2537" w:type="dxa"/>
            <w:shd w:val="clear" w:color="auto" w:fill="D9EAF7"/>
            <w:vAlign w:val="center"/>
          </w:tcPr>
          <w:p w:rsidR="00F930B0" w:rsidRDefault="00D258C6">
            <w:pPr>
              <w:pStyle w:val="TableParagraph"/>
              <w:spacing w:before="30" w:after="30" w:line="248" w:lineRule="auto"/>
              <w:ind w:left="90" w:right="90"/>
              <w:rPr>
                <w:sz w:val="20"/>
              </w:rPr>
            </w:pPr>
            <w:r>
              <w:rPr>
                <w:b/>
                <w:sz w:val="20"/>
              </w:rPr>
              <w:t>D: Data Feasibility (20%)</w:t>
            </w:r>
          </w:p>
        </w:tc>
        <w:tc>
          <w:tcPr>
            <w:tcW w:w="2693" w:type="dxa"/>
            <w:shd w:val="clear" w:color="auto" w:fill="FBE8E6"/>
            <w:vAlign w:val="center"/>
          </w:tcPr>
          <w:p w:rsidR="00F930B0" w:rsidRDefault="00D258C6">
            <w:pPr>
              <w:pStyle w:val="TableParagraph"/>
              <w:spacing w:before="30" w:after="30" w:line="248" w:lineRule="auto"/>
              <w:ind w:left="90" w:right="90"/>
              <w:rPr>
                <w:sz w:val="20"/>
              </w:rPr>
            </w:pPr>
            <w:r>
              <w:rPr>
                <w:b/>
                <w:sz w:val="20"/>
              </w:rPr>
              <w:t xml:space="preserve">2/5 </w:t>
            </w:r>
            <w:r w:rsidR="004F6B90">
              <w:rPr>
                <w:b/>
                <w:sz w:val="20"/>
              </w:rPr>
              <w:t>-</w:t>
            </w:r>
            <w:r>
              <w:rPr>
                <w:b/>
                <w:sz w:val="20"/>
              </w:rPr>
              <w:t xml:space="preserve"> </w:t>
            </w:r>
            <w:r>
              <w:rPr>
                <w:sz w:val="20"/>
              </w:rPr>
              <w:t>Randomized, comparable development tasks in a live public entity are hard to obtain, and sensitive pension data constrain access.</w:t>
            </w:r>
          </w:p>
        </w:tc>
        <w:tc>
          <w:tcPr>
            <w:tcW w:w="2837" w:type="dxa"/>
            <w:shd w:val="clear" w:color="auto" w:fill="FFF3DF"/>
            <w:vAlign w:val="center"/>
          </w:tcPr>
          <w:p w:rsidR="00F930B0" w:rsidRDefault="00D258C6">
            <w:pPr>
              <w:pStyle w:val="TableParagraph"/>
              <w:spacing w:before="30" w:after="30" w:line="248" w:lineRule="auto"/>
              <w:ind w:left="90" w:right="90"/>
              <w:rPr>
                <w:sz w:val="20"/>
              </w:rPr>
            </w:pPr>
            <w:r>
              <w:rPr>
                <w:b/>
                <w:sz w:val="20"/>
              </w:rPr>
              <w:t xml:space="preserve">3/5 </w:t>
            </w:r>
            <w:r w:rsidR="004F6B90">
              <w:rPr>
                <w:b/>
                <w:sz w:val="20"/>
              </w:rPr>
              <w:t>-</w:t>
            </w:r>
            <w:r>
              <w:rPr>
                <w:b/>
                <w:sz w:val="20"/>
              </w:rPr>
              <w:t xml:space="preserve"> </w:t>
            </w:r>
            <w:r>
              <w:rPr>
                <w:sz w:val="20"/>
              </w:rPr>
              <w:t>Synthetic workloads and injected defects are possible, but faithful models of the enterprise architecture and regulation</w:t>
            </w:r>
            <w:r>
              <w:rPr>
                <w:sz w:val="20"/>
              </w:rPr>
              <w:t>s are resource-intensive.</w:t>
            </w:r>
          </w:p>
        </w:tc>
        <w:tc>
          <w:tcPr>
            <w:tcW w:w="2976" w:type="dxa"/>
            <w:shd w:val="clear" w:color="auto" w:fill="FFF3DF"/>
            <w:vAlign w:val="center"/>
          </w:tcPr>
          <w:p w:rsidR="00F930B0" w:rsidRDefault="00D258C6">
            <w:pPr>
              <w:pStyle w:val="TableParagraph"/>
              <w:spacing w:before="30" w:after="30" w:line="248" w:lineRule="auto"/>
              <w:ind w:left="90" w:right="90"/>
              <w:rPr>
                <w:sz w:val="20"/>
              </w:rPr>
            </w:pPr>
            <w:r>
              <w:rPr>
                <w:b/>
                <w:sz w:val="20"/>
              </w:rPr>
              <w:t xml:space="preserve">3/5 </w:t>
            </w:r>
            <w:r w:rsidR="004F6B90">
              <w:rPr>
                <w:b/>
                <w:sz w:val="20"/>
              </w:rPr>
              <w:t>-</w:t>
            </w:r>
            <w:r>
              <w:rPr>
                <w:b/>
                <w:sz w:val="20"/>
              </w:rPr>
              <w:t xml:space="preserve"> </w:t>
            </w:r>
            <w:r>
              <w:rPr>
                <w:sz w:val="20"/>
              </w:rPr>
              <w:t>Requires both repeated quantitative measurements and qualitative expert data.</w:t>
            </w:r>
          </w:p>
        </w:tc>
        <w:tc>
          <w:tcPr>
            <w:tcW w:w="3065" w:type="dxa"/>
            <w:shd w:val="clear" w:color="auto" w:fill="E6F4EA"/>
            <w:vAlign w:val="center"/>
          </w:tcPr>
          <w:p w:rsidR="00F930B0" w:rsidRDefault="00D258C6">
            <w:pPr>
              <w:pStyle w:val="TableParagraph"/>
              <w:spacing w:before="30" w:after="30" w:line="248" w:lineRule="auto"/>
              <w:ind w:left="90" w:right="90"/>
              <w:rPr>
                <w:sz w:val="20"/>
              </w:rPr>
            </w:pPr>
            <w:r>
              <w:rPr>
                <w:b/>
                <w:sz w:val="20"/>
              </w:rPr>
              <w:t xml:space="preserve">4/5 </w:t>
            </w:r>
            <w:r w:rsidR="004F6B90">
              <w:rPr>
                <w:b/>
                <w:sz w:val="20"/>
              </w:rPr>
              <w:t>-</w:t>
            </w:r>
            <w:r>
              <w:rPr>
                <w:b/>
                <w:sz w:val="20"/>
              </w:rPr>
              <w:t xml:space="preserve"> </w:t>
            </w:r>
            <w:r>
              <w:rPr>
                <w:sz w:val="20"/>
              </w:rPr>
              <w:t xml:space="preserve">Prototype logs, enterprise-architecture documentation, code repositories, development artifacts, and focused expert feedback are obtainable </w:t>
            </w:r>
            <w:r>
              <w:rPr>
                <w:sz w:val="20"/>
              </w:rPr>
              <w:t>without personal data.</w:t>
            </w:r>
          </w:p>
        </w:tc>
      </w:tr>
      <w:tr w:rsidR="00F930B0">
        <w:trPr>
          <w:trHeight w:val="1000"/>
        </w:trPr>
        <w:tc>
          <w:tcPr>
            <w:tcW w:w="2537" w:type="dxa"/>
            <w:shd w:val="clear" w:color="auto" w:fill="D9EAF7"/>
            <w:vAlign w:val="center"/>
          </w:tcPr>
          <w:p w:rsidR="00F930B0" w:rsidRDefault="00D258C6">
            <w:pPr>
              <w:pStyle w:val="TableParagraph"/>
              <w:spacing w:before="30" w:after="30" w:line="248" w:lineRule="auto"/>
              <w:ind w:left="90" w:right="90"/>
              <w:rPr>
                <w:sz w:val="20"/>
              </w:rPr>
            </w:pPr>
            <w:r>
              <w:rPr>
                <w:b/>
                <w:sz w:val="20"/>
              </w:rPr>
              <w:t>F: Feasibility (15%)</w:t>
            </w:r>
          </w:p>
        </w:tc>
        <w:tc>
          <w:tcPr>
            <w:tcW w:w="2693" w:type="dxa"/>
            <w:shd w:val="clear" w:color="auto" w:fill="FBE8E6"/>
            <w:vAlign w:val="center"/>
          </w:tcPr>
          <w:p w:rsidR="00F930B0" w:rsidRDefault="00D258C6">
            <w:pPr>
              <w:pStyle w:val="TableParagraph"/>
              <w:spacing w:before="30" w:after="30" w:line="248" w:lineRule="auto"/>
              <w:ind w:left="90" w:right="90"/>
              <w:rPr>
                <w:sz w:val="20"/>
              </w:rPr>
            </w:pPr>
            <w:r>
              <w:rPr>
                <w:b/>
                <w:sz w:val="20"/>
              </w:rPr>
              <w:t xml:space="preserve">2/5 </w:t>
            </w:r>
            <w:r w:rsidR="004F6B90">
              <w:rPr>
                <w:b/>
                <w:sz w:val="20"/>
              </w:rPr>
              <w:t>-</w:t>
            </w:r>
            <w:r>
              <w:rPr>
                <w:b/>
                <w:sz w:val="20"/>
              </w:rPr>
              <w:t xml:space="preserve"> </w:t>
            </w:r>
            <w:r>
              <w:rPr>
                <w:sz w:val="20"/>
              </w:rPr>
              <w:t>High control and randomization burden, plus production-like access, are hard to secure within three years.</w:t>
            </w:r>
          </w:p>
        </w:tc>
        <w:tc>
          <w:tcPr>
            <w:tcW w:w="2837" w:type="dxa"/>
            <w:shd w:val="clear" w:color="auto" w:fill="FFF3DF"/>
            <w:vAlign w:val="center"/>
          </w:tcPr>
          <w:p w:rsidR="00F930B0" w:rsidRDefault="00D258C6">
            <w:pPr>
              <w:pStyle w:val="TableParagraph"/>
              <w:spacing w:before="30" w:after="30" w:line="248" w:lineRule="auto"/>
              <w:ind w:left="90" w:right="90"/>
              <w:rPr>
                <w:sz w:val="20"/>
              </w:rPr>
            </w:pPr>
            <w:r>
              <w:rPr>
                <w:b/>
                <w:sz w:val="20"/>
              </w:rPr>
              <w:t xml:space="preserve">3/5 </w:t>
            </w:r>
            <w:r w:rsidR="004F6B90">
              <w:rPr>
                <w:b/>
                <w:sz w:val="20"/>
              </w:rPr>
              <w:t>-</w:t>
            </w:r>
            <w:r>
              <w:rPr>
                <w:b/>
                <w:sz w:val="20"/>
              </w:rPr>
              <w:t xml:space="preserve"> </w:t>
            </w:r>
            <w:r>
              <w:rPr>
                <w:sz w:val="20"/>
              </w:rPr>
              <w:t>Feasible, but faithful modeling of regulations, EA rules, and correlated failure modes adds time.</w:t>
            </w:r>
          </w:p>
        </w:tc>
        <w:tc>
          <w:tcPr>
            <w:tcW w:w="2976" w:type="dxa"/>
            <w:shd w:val="clear" w:color="auto" w:fill="FFF3DF"/>
            <w:vAlign w:val="center"/>
          </w:tcPr>
          <w:p w:rsidR="00F930B0" w:rsidRDefault="00D258C6">
            <w:pPr>
              <w:pStyle w:val="TableParagraph"/>
              <w:spacing w:before="30" w:after="30" w:line="248" w:lineRule="auto"/>
              <w:ind w:left="90" w:right="90"/>
              <w:rPr>
                <w:sz w:val="20"/>
              </w:rPr>
            </w:pPr>
            <w:r>
              <w:rPr>
                <w:b/>
                <w:sz w:val="20"/>
              </w:rPr>
              <w:t xml:space="preserve">3/5 </w:t>
            </w:r>
            <w:r w:rsidR="004F6B90">
              <w:rPr>
                <w:b/>
                <w:sz w:val="20"/>
              </w:rPr>
              <w:t>-</w:t>
            </w:r>
            <w:r>
              <w:rPr>
                <w:b/>
                <w:sz w:val="20"/>
              </w:rPr>
              <w:t xml:space="preserve"> </w:t>
            </w:r>
            <w:r>
              <w:rPr>
                <w:sz w:val="20"/>
              </w:rPr>
              <w:t>Feasible only if tightly scoped; a full mixed-methods study risks overextension.</w:t>
            </w:r>
          </w:p>
        </w:tc>
        <w:tc>
          <w:tcPr>
            <w:tcW w:w="3065" w:type="dxa"/>
            <w:shd w:val="clear" w:color="auto" w:fill="E6F4EA"/>
            <w:vAlign w:val="center"/>
          </w:tcPr>
          <w:p w:rsidR="00F930B0" w:rsidRDefault="00D258C6">
            <w:pPr>
              <w:pStyle w:val="TableParagraph"/>
              <w:spacing w:before="30" w:after="30" w:line="248" w:lineRule="auto"/>
              <w:ind w:left="90" w:right="90"/>
              <w:rPr>
                <w:sz w:val="20"/>
              </w:rPr>
            </w:pPr>
            <w:r>
              <w:rPr>
                <w:b/>
                <w:sz w:val="20"/>
              </w:rPr>
              <w:t xml:space="preserve">4/5 </w:t>
            </w:r>
            <w:r w:rsidR="004F6B90">
              <w:rPr>
                <w:b/>
                <w:sz w:val="20"/>
              </w:rPr>
              <w:t>-</w:t>
            </w:r>
            <w:r>
              <w:rPr>
                <w:b/>
                <w:sz w:val="20"/>
              </w:rPr>
              <w:t xml:space="preserve"> </w:t>
            </w:r>
            <w:r w:rsidR="0069446F" w:rsidRPr="0069446F">
              <w:rPr>
                <w:sz w:val="20"/>
              </w:rPr>
              <w:t>Feasible if limited to a prototype, a specific context (the pension system or possibly the Peruvian educational scholarship system), a scenario-based evaluation, and 3–4 key metrics.</w:t>
            </w:r>
          </w:p>
        </w:tc>
      </w:tr>
      <w:tr w:rsidR="00F930B0">
        <w:trPr>
          <w:trHeight w:val="1050"/>
        </w:trPr>
        <w:tc>
          <w:tcPr>
            <w:tcW w:w="2537" w:type="dxa"/>
            <w:shd w:val="clear" w:color="auto" w:fill="D9EAF7"/>
            <w:vAlign w:val="center"/>
          </w:tcPr>
          <w:p w:rsidR="00F930B0" w:rsidRDefault="00D258C6">
            <w:pPr>
              <w:pStyle w:val="TableParagraph"/>
              <w:spacing w:before="30" w:after="30" w:line="248" w:lineRule="auto"/>
              <w:ind w:left="90" w:right="90"/>
              <w:rPr>
                <w:sz w:val="20"/>
              </w:rPr>
            </w:pPr>
            <w:r>
              <w:rPr>
                <w:b/>
                <w:sz w:val="20"/>
              </w:rPr>
              <w:t>C: Contribution (20%)</w:t>
            </w:r>
          </w:p>
        </w:tc>
        <w:tc>
          <w:tcPr>
            <w:tcW w:w="2693" w:type="dxa"/>
            <w:shd w:val="clear" w:color="auto" w:fill="FBE8E6"/>
            <w:vAlign w:val="center"/>
          </w:tcPr>
          <w:p w:rsidR="00F930B0" w:rsidRDefault="00D258C6">
            <w:pPr>
              <w:pStyle w:val="TableParagraph"/>
              <w:spacing w:before="30" w:after="30" w:line="248" w:lineRule="auto"/>
              <w:ind w:left="90" w:right="90"/>
              <w:rPr>
                <w:sz w:val="20"/>
              </w:rPr>
            </w:pPr>
            <w:r>
              <w:rPr>
                <w:b/>
                <w:sz w:val="20"/>
              </w:rPr>
              <w:t xml:space="preserve">2/5 </w:t>
            </w:r>
            <w:r w:rsidR="004F6B90">
              <w:rPr>
                <w:b/>
                <w:sz w:val="20"/>
              </w:rPr>
              <w:t>-</w:t>
            </w:r>
            <w:r>
              <w:rPr>
                <w:b/>
                <w:sz w:val="20"/>
              </w:rPr>
              <w:t xml:space="preserve"> </w:t>
            </w:r>
            <w:r>
              <w:rPr>
                <w:sz w:val="20"/>
              </w:rPr>
              <w:t>Produces effect evidence on isolated variables, not the reference-architecture artifact or transferable design knowledge.</w:t>
            </w:r>
          </w:p>
        </w:tc>
        <w:tc>
          <w:tcPr>
            <w:tcW w:w="2837" w:type="dxa"/>
            <w:shd w:val="clear" w:color="auto" w:fill="FBE8E6"/>
            <w:vAlign w:val="center"/>
          </w:tcPr>
          <w:p w:rsidR="00F930B0" w:rsidRDefault="00D258C6">
            <w:pPr>
              <w:pStyle w:val="TableParagraph"/>
              <w:spacing w:before="30" w:after="30" w:line="248" w:lineRule="auto"/>
              <w:ind w:left="90" w:right="90"/>
              <w:rPr>
                <w:sz w:val="20"/>
              </w:rPr>
            </w:pPr>
            <w:r>
              <w:rPr>
                <w:b/>
                <w:sz w:val="20"/>
              </w:rPr>
              <w:t xml:space="preserve">2/5 </w:t>
            </w:r>
            <w:r w:rsidR="004F6B90">
              <w:rPr>
                <w:b/>
                <w:sz w:val="20"/>
              </w:rPr>
              <w:t>-</w:t>
            </w:r>
            <w:r>
              <w:rPr>
                <w:b/>
                <w:sz w:val="20"/>
              </w:rPr>
              <w:t xml:space="preserve"> </w:t>
            </w:r>
            <w:r>
              <w:rPr>
                <w:sz w:val="20"/>
              </w:rPr>
              <w:t>Explains behavior under modeled conditions but does not deliver the governed artifact or real-world design principles.</w:t>
            </w:r>
          </w:p>
        </w:tc>
        <w:tc>
          <w:tcPr>
            <w:tcW w:w="2976" w:type="dxa"/>
            <w:shd w:val="clear" w:color="auto" w:fill="E6F4EA"/>
            <w:vAlign w:val="center"/>
          </w:tcPr>
          <w:p w:rsidR="00F930B0" w:rsidRDefault="00D258C6">
            <w:pPr>
              <w:pStyle w:val="TableParagraph"/>
              <w:spacing w:before="30" w:after="30" w:line="248" w:lineRule="auto"/>
              <w:ind w:left="90" w:right="90"/>
              <w:rPr>
                <w:sz w:val="20"/>
              </w:rPr>
            </w:pPr>
            <w:r>
              <w:rPr>
                <w:b/>
                <w:sz w:val="20"/>
              </w:rPr>
              <w:t xml:space="preserve">4/5 </w:t>
            </w:r>
            <w:r w:rsidR="004F6B90">
              <w:rPr>
                <w:b/>
                <w:sz w:val="20"/>
              </w:rPr>
              <w:t>-</w:t>
            </w:r>
            <w:r>
              <w:rPr>
                <w:b/>
                <w:sz w:val="20"/>
              </w:rPr>
              <w:t xml:space="preserve"> </w:t>
            </w:r>
            <w:r>
              <w:rPr>
                <w:sz w:val="20"/>
              </w:rPr>
              <w:t>Produces integrated evidence, but artifact/design knowledge is not central.</w:t>
            </w:r>
          </w:p>
        </w:tc>
        <w:tc>
          <w:tcPr>
            <w:tcW w:w="3065" w:type="dxa"/>
            <w:shd w:val="clear" w:color="auto" w:fill="E6F4EA"/>
            <w:vAlign w:val="center"/>
          </w:tcPr>
          <w:p w:rsidR="00F930B0" w:rsidRDefault="00D258C6">
            <w:pPr>
              <w:pStyle w:val="TableParagraph"/>
              <w:spacing w:before="30" w:after="30" w:line="248" w:lineRule="auto"/>
              <w:ind w:left="90" w:right="90"/>
              <w:rPr>
                <w:sz w:val="20"/>
              </w:rPr>
            </w:pPr>
            <w:r>
              <w:rPr>
                <w:b/>
                <w:sz w:val="20"/>
              </w:rPr>
              <w:t xml:space="preserve">5/5 </w:t>
            </w:r>
            <w:r w:rsidR="004F6B90">
              <w:rPr>
                <w:b/>
                <w:sz w:val="20"/>
              </w:rPr>
              <w:t>-</w:t>
            </w:r>
            <w:r>
              <w:rPr>
                <w:b/>
                <w:sz w:val="20"/>
              </w:rPr>
              <w:t xml:space="preserve"> </w:t>
            </w:r>
            <w:r>
              <w:rPr>
                <w:sz w:val="20"/>
              </w:rPr>
              <w:t xml:space="preserve">Delivers the artifact (reference architecture) + </w:t>
            </w:r>
            <w:r>
              <w:rPr>
                <w:sz w:val="20"/>
              </w:rPr>
              <w:t>rigorous evaluation + transferable design principles (conformance principle; generation/verification separation).</w:t>
            </w:r>
          </w:p>
        </w:tc>
      </w:tr>
      <w:tr w:rsidR="00F930B0">
        <w:trPr>
          <w:trHeight w:val="1050"/>
        </w:trPr>
        <w:tc>
          <w:tcPr>
            <w:tcW w:w="2537" w:type="dxa"/>
            <w:shd w:val="clear" w:color="auto" w:fill="D9EAF7"/>
            <w:vAlign w:val="center"/>
          </w:tcPr>
          <w:p w:rsidR="00F930B0" w:rsidRDefault="00D258C6">
            <w:pPr>
              <w:pStyle w:val="TableParagraph"/>
              <w:spacing w:before="30" w:after="30" w:line="248" w:lineRule="auto"/>
              <w:ind w:left="90" w:right="90"/>
              <w:rPr>
                <w:sz w:val="20"/>
              </w:rPr>
            </w:pPr>
            <w:r>
              <w:rPr>
                <w:b/>
                <w:sz w:val="20"/>
              </w:rPr>
              <w:t>V: Venue Fit (15%)</w:t>
            </w:r>
          </w:p>
        </w:tc>
        <w:tc>
          <w:tcPr>
            <w:tcW w:w="2693" w:type="dxa"/>
            <w:shd w:val="clear" w:color="auto" w:fill="FFF3DF"/>
            <w:vAlign w:val="center"/>
          </w:tcPr>
          <w:p w:rsidR="00F930B0" w:rsidRDefault="00D258C6">
            <w:pPr>
              <w:pStyle w:val="TableParagraph"/>
              <w:spacing w:before="30" w:after="30" w:line="248" w:lineRule="auto"/>
              <w:ind w:left="90" w:right="90"/>
              <w:rPr>
                <w:sz w:val="20"/>
              </w:rPr>
            </w:pPr>
            <w:r>
              <w:rPr>
                <w:b/>
                <w:sz w:val="20"/>
              </w:rPr>
              <w:t xml:space="preserve">3/5 </w:t>
            </w:r>
            <w:r w:rsidR="004F6B90">
              <w:rPr>
                <w:b/>
                <w:sz w:val="20"/>
              </w:rPr>
              <w:t>-</w:t>
            </w:r>
            <w:r>
              <w:rPr>
                <w:b/>
                <w:sz w:val="20"/>
              </w:rPr>
              <w:t xml:space="preserve"> </w:t>
            </w:r>
            <w:r>
              <w:rPr>
                <w:sz w:val="20"/>
              </w:rPr>
              <w:t>Publishable in empirical-SE / evaluation venues if the causal design is defensible, but the design contribution is the intended story.</w:t>
            </w:r>
          </w:p>
        </w:tc>
        <w:tc>
          <w:tcPr>
            <w:tcW w:w="2837" w:type="dxa"/>
            <w:shd w:val="clear" w:color="auto" w:fill="FFF3DF"/>
            <w:vAlign w:val="center"/>
          </w:tcPr>
          <w:p w:rsidR="00F930B0" w:rsidRDefault="00D258C6">
            <w:pPr>
              <w:pStyle w:val="TableParagraph"/>
              <w:spacing w:before="30" w:after="30" w:line="248" w:lineRule="auto"/>
              <w:ind w:left="90" w:right="90"/>
              <w:rPr>
                <w:sz w:val="20"/>
              </w:rPr>
            </w:pPr>
            <w:r>
              <w:rPr>
                <w:b/>
                <w:sz w:val="20"/>
              </w:rPr>
              <w:t xml:space="preserve">3/5 </w:t>
            </w:r>
            <w:r w:rsidR="004F6B90">
              <w:rPr>
                <w:b/>
                <w:sz w:val="20"/>
              </w:rPr>
              <w:t>-</w:t>
            </w:r>
            <w:r>
              <w:rPr>
                <w:b/>
                <w:sz w:val="20"/>
              </w:rPr>
              <w:t xml:space="preserve"> </w:t>
            </w:r>
            <w:r>
              <w:rPr>
                <w:sz w:val="20"/>
              </w:rPr>
              <w:t>Possible in modeling / dependability venues; weaker match to the design and governance contribution.</w:t>
            </w:r>
          </w:p>
        </w:tc>
        <w:tc>
          <w:tcPr>
            <w:tcW w:w="2976" w:type="dxa"/>
            <w:shd w:val="clear" w:color="auto" w:fill="E6F4EA"/>
            <w:vAlign w:val="center"/>
          </w:tcPr>
          <w:p w:rsidR="00F930B0" w:rsidRDefault="00D258C6">
            <w:pPr>
              <w:pStyle w:val="TableParagraph"/>
              <w:spacing w:before="30" w:after="30" w:line="248" w:lineRule="auto"/>
              <w:ind w:left="90" w:right="90"/>
              <w:rPr>
                <w:sz w:val="20"/>
              </w:rPr>
            </w:pPr>
            <w:r>
              <w:rPr>
                <w:b/>
                <w:sz w:val="20"/>
              </w:rPr>
              <w:t xml:space="preserve">4/5 </w:t>
            </w:r>
            <w:r w:rsidR="004F6B90">
              <w:rPr>
                <w:b/>
                <w:sz w:val="20"/>
              </w:rPr>
              <w:t>-</w:t>
            </w:r>
            <w:r>
              <w:rPr>
                <w:b/>
                <w:sz w:val="20"/>
              </w:rPr>
              <w:t xml:space="preserve"> </w:t>
            </w:r>
            <w:r>
              <w:rPr>
                <w:sz w:val="20"/>
              </w:rPr>
              <w:t>Well acc</w:t>
            </w:r>
            <w:r>
              <w:rPr>
                <w:sz w:val="20"/>
              </w:rPr>
              <w:t>epted in empirical-SE and information-systems venues, but with broader study burden.</w:t>
            </w:r>
          </w:p>
        </w:tc>
        <w:tc>
          <w:tcPr>
            <w:tcW w:w="3065" w:type="dxa"/>
            <w:shd w:val="clear" w:color="auto" w:fill="E6F4EA"/>
            <w:vAlign w:val="center"/>
          </w:tcPr>
          <w:p w:rsidR="00F930B0" w:rsidRDefault="00D258C6">
            <w:pPr>
              <w:pStyle w:val="TableParagraph"/>
              <w:spacing w:before="30" w:after="30" w:line="248" w:lineRule="auto"/>
              <w:ind w:left="90" w:right="90"/>
              <w:rPr>
                <w:sz w:val="20"/>
              </w:rPr>
            </w:pPr>
            <w:r>
              <w:rPr>
                <w:b/>
                <w:sz w:val="20"/>
              </w:rPr>
              <w:t xml:space="preserve">5/5 </w:t>
            </w:r>
            <w:r w:rsidR="004F6B90">
              <w:rPr>
                <w:b/>
                <w:sz w:val="20"/>
              </w:rPr>
              <w:t>-</w:t>
            </w:r>
            <w:r>
              <w:rPr>
                <w:b/>
                <w:sz w:val="20"/>
              </w:rPr>
              <w:t xml:space="preserve"> </w:t>
            </w:r>
            <w:r>
              <w:rPr>
                <w:sz w:val="20"/>
              </w:rPr>
              <w:t>Strong fit with</w:t>
            </w:r>
            <w:r>
              <w:rPr>
                <w:sz w:val="20"/>
              </w:rPr>
              <w:t xml:space="preserve"> ECSA, IEEE Software, Journal of Systems and Software, and Government Information Quarterly (public-sector angle).</w:t>
            </w:r>
          </w:p>
        </w:tc>
      </w:tr>
      <w:tr w:rsidR="00F930B0">
        <w:trPr>
          <w:trHeight w:val="560"/>
        </w:trPr>
        <w:tc>
          <w:tcPr>
            <w:tcW w:w="2537" w:type="dxa"/>
            <w:shd w:val="clear" w:color="auto" w:fill="17365D"/>
            <w:vAlign w:val="center"/>
          </w:tcPr>
          <w:p w:rsidR="00F930B0" w:rsidRDefault="00D258C6">
            <w:pPr>
              <w:pStyle w:val="TableParagraph"/>
              <w:spacing w:before="30" w:after="30" w:line="248" w:lineRule="auto"/>
              <w:ind w:left="120" w:right="90"/>
              <w:rPr>
                <w:sz w:val="20"/>
              </w:rPr>
            </w:pPr>
            <w:r>
              <w:rPr>
                <w:b/>
                <w:color w:val="FFFFFF"/>
                <w:sz w:val="20"/>
              </w:rPr>
              <w:t>Weighted Total</w:t>
            </w:r>
            <w:r>
              <w:rPr>
                <w:b/>
                <w:color w:val="FFFFFF"/>
                <w:sz w:val="20"/>
              </w:rPr>
              <w:t xml:space="preserve">  (E×.30 + D×.20 + F×.15 + C×.20 + V×.15)</w:t>
            </w:r>
          </w:p>
        </w:tc>
        <w:tc>
          <w:tcPr>
            <w:tcW w:w="2693" w:type="dxa"/>
            <w:shd w:val="clear" w:color="auto" w:fill="F1F4F7"/>
            <w:vAlign w:val="center"/>
          </w:tcPr>
          <w:p w:rsidR="00F930B0" w:rsidRDefault="00D258C6">
            <w:pPr>
              <w:pStyle w:val="TableParagraph"/>
              <w:spacing w:before="30" w:after="30" w:line="248" w:lineRule="auto"/>
              <w:ind w:left="90" w:right="90"/>
              <w:jc w:val="center"/>
              <w:rPr>
                <w:sz w:val="20"/>
              </w:rPr>
            </w:pPr>
            <w:r>
              <w:rPr>
                <w:b/>
                <w:sz w:val="20"/>
              </w:rPr>
              <w:t>2.45/5 (49/100)</w:t>
            </w:r>
          </w:p>
        </w:tc>
        <w:tc>
          <w:tcPr>
            <w:tcW w:w="2837" w:type="dxa"/>
            <w:shd w:val="clear" w:color="auto" w:fill="F1F4F7"/>
            <w:vAlign w:val="center"/>
          </w:tcPr>
          <w:p w:rsidR="00F930B0" w:rsidRDefault="00D258C6">
            <w:pPr>
              <w:pStyle w:val="TableParagraph"/>
              <w:spacing w:before="30" w:after="30" w:line="248" w:lineRule="auto"/>
              <w:ind w:left="90" w:right="90"/>
              <w:jc w:val="center"/>
              <w:rPr>
                <w:sz w:val="20"/>
              </w:rPr>
            </w:pPr>
            <w:r>
              <w:rPr>
                <w:b/>
                <w:sz w:val="20"/>
              </w:rPr>
              <w:t>2.50/5 (50/100)</w:t>
            </w:r>
          </w:p>
        </w:tc>
        <w:tc>
          <w:tcPr>
            <w:tcW w:w="2976" w:type="dxa"/>
            <w:shd w:val="clear" w:color="auto" w:fill="FFF3DF"/>
            <w:vAlign w:val="center"/>
          </w:tcPr>
          <w:p w:rsidR="00F930B0" w:rsidRDefault="00D258C6">
            <w:pPr>
              <w:pStyle w:val="TableParagraph"/>
              <w:spacing w:before="30" w:after="30" w:line="248" w:lineRule="auto"/>
              <w:ind w:left="90" w:right="90"/>
              <w:jc w:val="center"/>
              <w:rPr>
                <w:sz w:val="20"/>
              </w:rPr>
            </w:pPr>
            <w:r>
              <w:rPr>
                <w:b/>
                <w:sz w:val="20"/>
              </w:rPr>
              <w:t>3.65/5 (73/100)</w:t>
            </w:r>
          </w:p>
        </w:tc>
        <w:tc>
          <w:tcPr>
            <w:tcW w:w="3065" w:type="dxa"/>
            <w:shd w:val="clear" w:color="auto" w:fill="E6F4EA"/>
            <w:vAlign w:val="center"/>
          </w:tcPr>
          <w:p w:rsidR="00F930B0" w:rsidRDefault="00D258C6">
            <w:pPr>
              <w:pStyle w:val="TableParagraph"/>
              <w:spacing w:before="30" w:after="30" w:line="248" w:lineRule="auto"/>
              <w:ind w:left="90" w:right="90"/>
              <w:jc w:val="center"/>
              <w:rPr>
                <w:sz w:val="20"/>
              </w:rPr>
            </w:pPr>
            <w:r>
              <w:rPr>
                <w:b/>
                <w:sz w:val="20"/>
              </w:rPr>
              <w:t>4.65/5 (93/100)</w:t>
            </w:r>
          </w:p>
        </w:tc>
      </w:tr>
      <w:tr w:rsidR="00F930B0">
        <w:trPr>
          <w:trHeight w:val="1500"/>
        </w:trPr>
        <w:tc>
          <w:tcPr>
            <w:tcW w:w="14108" w:type="dxa"/>
            <w:gridSpan w:val="5"/>
            <w:shd w:val="clear" w:color="auto" w:fill="EAF1F8"/>
          </w:tcPr>
          <w:p w:rsidR="00F930B0" w:rsidRDefault="00D258C6">
            <w:pPr>
              <w:pStyle w:val="TableParagraph"/>
              <w:spacing w:before="60" w:after="60" w:line="264" w:lineRule="auto"/>
              <w:ind w:left="110" w:right="150"/>
              <w:jc w:val="both"/>
              <w:rPr>
                <w:sz w:val="20"/>
              </w:rPr>
            </w:pPr>
            <w:r>
              <w:rPr>
                <w:b/>
                <w:sz w:val="20"/>
              </w:rPr>
              <w:t xml:space="preserve">Decision: </w:t>
            </w:r>
            <w:r>
              <w:rPr>
                <w:sz w:val="20"/>
              </w:rPr>
              <w:t>Design Science Research is selected as the primary method. Pure Experiment and Simulation are eliminated by the ≤2 gate on a critical criterion (Contribution for both; also Epistemological Fit for Simulation), because neither can produce or govern the refe</w:t>
            </w:r>
            <w:r>
              <w:rPr>
                <w:sz w:val="20"/>
              </w:rPr>
              <w:t>rence-architecture artifact that is the intended contribution. Mixed Methods remains a viable evaluation strategy embedded within DSR</w:t>
            </w:r>
            <w:r w:rsidR="004F6B90">
              <w:rPr>
                <w:sz w:val="20"/>
              </w:rPr>
              <w:t>-</w:t>
            </w:r>
            <w:r>
              <w:rPr>
                <w:sz w:val="20"/>
              </w:rPr>
              <w:t>not the governing method</w:t>
            </w:r>
            <w:r w:rsidR="004F6B90">
              <w:rPr>
                <w:sz w:val="20"/>
              </w:rPr>
              <w:t>-</w:t>
            </w:r>
            <w:r>
              <w:rPr>
                <w:sz w:val="20"/>
              </w:rPr>
              <w:t>consistent with the paradigm justification. To stay feasible within three years, the DSR study is</w:t>
            </w:r>
            <w:r>
              <w:rPr>
                <w:sz w:val="20"/>
              </w:rPr>
              <w:t xml:space="preserve"> restricted to one functional prototype (the generation/verification agent pipeline with a conformance layer), one application context (the Peruvian pension system</w:t>
            </w:r>
            <w:r w:rsidR="009B45AB">
              <w:rPr>
                <w:sz w:val="20"/>
              </w:rPr>
              <w:t xml:space="preserve"> or </w:t>
            </w:r>
            <w:r w:rsidR="009B45AB" w:rsidRPr="0069446F">
              <w:rPr>
                <w:sz w:val="20"/>
              </w:rPr>
              <w:t>possibly the Peruvian educational scholarship system</w:t>
            </w:r>
            <w:r>
              <w:rPr>
                <w:sz w:val="20"/>
              </w:rPr>
              <w:t>), a scenario-based architecture evaluation with expert participation, and 3–4 primary outcom</w:t>
            </w:r>
            <w:r>
              <w:rPr>
                <w:sz w:val="20"/>
              </w:rPr>
              <w:t>e metrics. A pure experiment may be embedded inside the DSR evaluation cycle as a controlled comparison of the two-agent pipeline against a single-agent baseline, and simulation may be used for pre-deployment stress testing of defect-injection and correlat</w:t>
            </w:r>
            <w:r>
              <w:rPr>
                <w:sz w:val="20"/>
              </w:rPr>
              <w:t xml:space="preserve">ed generator–verifier failure scenarios. Color legend: red = weak fit (≤2); amber = moderate fit </w:t>
            </w:r>
            <w:r>
              <w:rPr>
                <w:sz w:val="20"/>
              </w:rPr>
              <w:lastRenderedPageBreak/>
              <w:t>(3); green = strong fit (≥4); blue = structural rows.</w:t>
            </w:r>
            <w:bookmarkStart w:id="0" w:name="_GoBack"/>
            <w:bookmarkEnd w:id="0"/>
          </w:p>
        </w:tc>
      </w:tr>
    </w:tbl>
    <w:p w:rsidR="00F930B0" w:rsidRDefault="00D258C6">
      <w:pPr>
        <w:pStyle w:val="Textoindependiente"/>
        <w:spacing w:before="120" w:line="276" w:lineRule="auto"/>
        <w:ind w:left="153" w:right="200"/>
        <w:jc w:val="both"/>
      </w:pPr>
      <w:r>
        <w:rPr>
          <w:b/>
        </w:rPr>
        <w:lastRenderedPageBreak/>
        <w:t xml:space="preserve">Gate rule: </w:t>
      </w:r>
      <w:r>
        <w:t>any candidate scoring ≤2 on a critical criterion (Epistemological Fit or Contribution) is removed. Simulation is not shortlisted as the primary method because the central claim concerns real-world utility and governed conformance in a regulated public syst</w:t>
      </w:r>
      <w:r>
        <w:t>em; it may still be used for pre-deployment stress testing of failure scenarios (e.g., injecting defects and correlated generator–verifier errors).</w:t>
      </w:r>
    </w:p>
    <w:p w:rsidR="00F930B0" w:rsidRDefault="00D258C6">
      <w:pPr>
        <w:pStyle w:val="Textoindependiente"/>
        <w:spacing w:before="120" w:line="276" w:lineRule="auto"/>
        <w:ind w:left="153" w:right="200"/>
        <w:jc w:val="both"/>
      </w:pPr>
      <w:r>
        <w:rPr>
          <w:b/>
        </w:rPr>
        <w:t xml:space="preserve">Data sources for the selected DSR plan: </w:t>
      </w:r>
      <w:r>
        <w:t>prototype interaction and build logs; automatically detected conform</w:t>
      </w:r>
      <w:r>
        <w:t>ance violations (precision/recall) against enterprise-architecture and regulatory rules; defect escape rate, rework effort, and lead time; the single-agent (no independent verification) baseline; enterprise-architecture documentation, code repositories, an</w:t>
      </w:r>
      <w:r>
        <w:t xml:space="preserve">d development artifacts from the application case; and focused feedback from architecture and domain experts. Prerequisites: alignment with Law No. 29733 (Protection of Personal Data), Law No. 31814, and NTP-ISO/IEC 42001:2025; restriction of the artifact </w:t>
      </w:r>
      <w:r>
        <w:t>to development and verification (not production execution); data minimization with no identifiable personal pension data; and local / on-device processing with access limited to strictly necessary code and data.</w:t>
      </w:r>
    </w:p>
    <w:p w:rsidR="00C05BCF" w:rsidRDefault="00A779E9">
      <w:pPr>
        <w:spacing w:before="142"/>
        <w:ind w:right="977"/>
        <w:jc w:val="right"/>
        <w:rPr>
          <w:rFonts w:ascii="Trebuchet MS"/>
          <w:sz w:val="21"/>
        </w:rPr>
      </w:pPr>
      <w:r>
        <w:rPr>
          <w:rFonts w:ascii="Trebuchet MS"/>
          <w:color w:val="1F2937"/>
          <w:spacing w:val="-10"/>
          <w:sz w:val="21"/>
        </w:rPr>
        <w:t>2</w:t>
      </w:r>
    </w:p>
    <w:sectPr w:rsidR="00C05BCF">
      <w:pgSz w:w="15840" w:h="12240" w:orient="landscape"/>
      <w:pgMar w:top="9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BCF"/>
    <w:rsid w:val="00404680"/>
    <w:rsid w:val="004F6B90"/>
    <w:rsid w:val="0054731C"/>
    <w:rsid w:val="0069446F"/>
    <w:rsid w:val="007E02AB"/>
    <w:rsid w:val="009155D8"/>
    <w:rsid w:val="009B45AB"/>
    <w:rsid w:val="00A779E9"/>
    <w:rsid w:val="00C05BCF"/>
    <w:rsid w:val="00CC2E82"/>
    <w:rsid w:val="00CF7457"/>
    <w:rsid w:val="00D258C6"/>
    <w:rsid w:val="00F930B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A3BAB"/>
  <w15:docId w15:val="{9F7225C1-23F5-444F-BEC6-3F204B068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Ttulo1">
    <w:name w:val="heading 1"/>
    <w:basedOn w:val="Normal"/>
    <w:uiPriority w:val="9"/>
    <w:qFormat/>
    <w:pPr>
      <w:spacing w:before="316"/>
      <w:ind w:right="2"/>
      <w:jc w:val="center"/>
      <w:outlineLvl w:val="0"/>
    </w:pPr>
    <w:rPr>
      <w:b/>
      <w:bCs/>
      <w:sz w:val="48"/>
      <w:szCs w:val="48"/>
    </w:rPr>
  </w:style>
  <w:style w:type="paragraph" w:styleId="Ttulo2">
    <w:name w:val="heading 2"/>
    <w:basedOn w:val="Normal"/>
    <w:uiPriority w:val="9"/>
    <w:unhideWhenUsed/>
    <w:qFormat/>
    <w:pPr>
      <w:ind w:left="2" w:right="2"/>
      <w:jc w:val="center"/>
      <w:outlineLvl w:val="1"/>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46"/>
      <w:ind w:left="6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930</Words>
  <Characters>5120</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Install MS Office 2019 Std 64 bits</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Felix Mendoza</cp:lastModifiedBy>
  <cp:revision>2</cp:revision>
  <dcterms:created xsi:type="dcterms:W3CDTF">2026-09-18T23:48:00Z</dcterms:created>
  <dcterms:modified xsi:type="dcterms:W3CDTF">2026-09-18T23:48:00Z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2026-09-18T00:00:00Z</vt:filetime>
  </property>
  <property fmtid="{D5CDD505-2E9C-101B-9397-08002B2CF9AE}" pid="4" name="Creator">
    <vt:lpwstr>Microsoft® Word 2019</vt:lpwstr>
  </property>
  <property fmtid="{D5CDD505-2E9C-101B-9397-08002B2CF9AE}" pid="5" name="LastSaved">
    <vt:filetime>2026-09-18T00:00:00Z</vt:filetime>
  </property>
  <property fmtid="{D5CDD505-2E9C-101B-9397-08002B2CF9AE}" pid="6" name="Producer">
    <vt:lpwstr>Microsoft® Word 2019</vt:lpwstr>
  </property>
</Properties>
</file>