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5BCF" w:rsidRDefault="00A779E9">
      <w:pPr>
        <w:spacing w:before="57" w:line="360" w:lineRule="auto"/>
        <w:ind w:left="307" w:right="308"/>
        <w:jc w:val="center"/>
        <w:rPr>
          <w:b/>
          <w:sz w:val="40"/>
        </w:rPr>
      </w:pPr>
      <w:r>
        <w:rPr>
          <w:b/>
          <w:noProof/>
          <w:sz w:val="40"/>
        </w:rPr>
        <w:drawing>
          <wp:anchor distT="0" distB="0" distL="0" distR="0" simplePos="0" relativeHeight="487587840" behindDoc="1" locked="0" layoutInCell="1" allowOverlap="1">
            <wp:simplePos x="0" y="0"/>
            <wp:positionH relativeFrom="page">
              <wp:posOffset>3190875</wp:posOffset>
            </wp:positionH>
            <wp:positionV relativeFrom="paragraph">
              <wp:posOffset>937767</wp:posOffset>
            </wp:positionV>
            <wp:extent cx="1384950" cy="16139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84950" cy="1613916"/>
                    </a:xfrm>
                    <a:prstGeom prst="rect">
                      <a:avLst/>
                    </a:prstGeom>
                  </pic:spPr>
                </pic:pic>
              </a:graphicData>
            </a:graphic>
          </wp:anchor>
        </w:drawing>
      </w:r>
      <w:r>
        <w:rPr>
          <w:b/>
          <w:sz w:val="40"/>
        </w:rPr>
        <w:t>UNIVERSIDAD</w:t>
      </w:r>
      <w:r>
        <w:rPr>
          <w:b/>
          <w:spacing w:val="-10"/>
          <w:sz w:val="40"/>
        </w:rPr>
        <w:t xml:space="preserve"> </w:t>
      </w:r>
      <w:r>
        <w:rPr>
          <w:b/>
          <w:sz w:val="40"/>
        </w:rPr>
        <w:t>NACIONAL</w:t>
      </w:r>
      <w:r>
        <w:rPr>
          <w:b/>
          <w:spacing w:val="-10"/>
          <w:sz w:val="40"/>
        </w:rPr>
        <w:t xml:space="preserve"> </w:t>
      </w:r>
      <w:r>
        <w:rPr>
          <w:b/>
          <w:sz w:val="40"/>
        </w:rPr>
        <w:t>MAYOR</w:t>
      </w:r>
      <w:r>
        <w:rPr>
          <w:b/>
          <w:spacing w:val="-12"/>
          <w:sz w:val="40"/>
        </w:rPr>
        <w:t xml:space="preserve"> </w:t>
      </w:r>
      <w:r>
        <w:rPr>
          <w:b/>
          <w:sz w:val="40"/>
        </w:rPr>
        <w:t>DE</w:t>
      </w:r>
      <w:r>
        <w:rPr>
          <w:b/>
          <w:spacing w:val="-10"/>
          <w:sz w:val="40"/>
        </w:rPr>
        <w:t xml:space="preserve"> </w:t>
      </w:r>
      <w:r>
        <w:rPr>
          <w:b/>
          <w:sz w:val="40"/>
        </w:rPr>
        <w:t xml:space="preserve">SAN </w:t>
      </w:r>
      <w:r>
        <w:rPr>
          <w:b/>
          <w:spacing w:val="-2"/>
          <w:sz w:val="40"/>
        </w:rPr>
        <w:t>MARCOS</w:t>
      </w:r>
    </w:p>
    <w:p w:rsidR="00C05BCF" w:rsidRDefault="00A779E9">
      <w:pPr>
        <w:pStyle w:val="Ttulo1"/>
        <w:spacing w:line="360" w:lineRule="auto"/>
      </w:pPr>
      <w:r>
        <w:t>Doctoral</w:t>
      </w:r>
      <w:r>
        <w:rPr>
          <w:spacing w:val="-7"/>
        </w:rPr>
        <w:t xml:space="preserve"> </w:t>
      </w:r>
      <w:r>
        <w:t>Program</w:t>
      </w:r>
      <w:r>
        <w:rPr>
          <w:spacing w:val="-8"/>
        </w:rPr>
        <w:t xml:space="preserve"> </w:t>
      </w:r>
      <w:r>
        <w:t>in</w:t>
      </w:r>
      <w:r>
        <w:rPr>
          <w:spacing w:val="-9"/>
        </w:rPr>
        <w:t xml:space="preserve"> </w:t>
      </w:r>
      <w:r>
        <w:t>Deep</w:t>
      </w:r>
      <w:r>
        <w:rPr>
          <w:spacing w:val="-9"/>
        </w:rPr>
        <w:t xml:space="preserve"> </w:t>
      </w:r>
      <w:r>
        <w:t>Tech,</w:t>
      </w:r>
      <w:r>
        <w:rPr>
          <w:spacing w:val="-8"/>
        </w:rPr>
        <w:t xml:space="preserve"> </w:t>
      </w:r>
      <w:r>
        <w:t>Artificial Intelligence &amp; Emerging Technologies</w:t>
      </w:r>
    </w:p>
    <w:p w:rsidR="00C05BCF" w:rsidRDefault="00C05BCF">
      <w:pPr>
        <w:pStyle w:val="Textoindependiente"/>
        <w:spacing w:before="104"/>
        <w:rPr>
          <w:b/>
          <w:sz w:val="48"/>
        </w:rPr>
      </w:pPr>
    </w:p>
    <w:p w:rsidR="00C05BCF" w:rsidRDefault="00A779E9">
      <w:pPr>
        <w:spacing w:line="360" w:lineRule="auto"/>
        <w:ind w:left="307" w:right="308"/>
        <w:jc w:val="center"/>
        <w:rPr>
          <w:b/>
          <w:sz w:val="40"/>
        </w:rPr>
      </w:pPr>
      <w:r>
        <w:rPr>
          <w:b/>
          <w:sz w:val="40"/>
        </w:rPr>
        <w:t>Research</w:t>
      </w:r>
      <w:r>
        <w:rPr>
          <w:b/>
          <w:spacing w:val="-7"/>
          <w:sz w:val="40"/>
        </w:rPr>
        <w:t xml:space="preserve"> </w:t>
      </w:r>
      <w:r>
        <w:rPr>
          <w:b/>
          <w:sz w:val="40"/>
        </w:rPr>
        <w:t>Methods</w:t>
      </w:r>
      <w:r>
        <w:rPr>
          <w:b/>
          <w:spacing w:val="-7"/>
          <w:sz w:val="40"/>
        </w:rPr>
        <w:t xml:space="preserve"> </w:t>
      </w:r>
      <w:r>
        <w:rPr>
          <w:b/>
          <w:sz w:val="40"/>
        </w:rPr>
        <w:t>and</w:t>
      </w:r>
      <w:r>
        <w:rPr>
          <w:b/>
          <w:spacing w:val="-7"/>
          <w:sz w:val="40"/>
        </w:rPr>
        <w:t xml:space="preserve"> </w:t>
      </w:r>
      <w:r>
        <w:rPr>
          <w:b/>
          <w:sz w:val="40"/>
        </w:rPr>
        <w:t>Scientific</w:t>
      </w:r>
      <w:r>
        <w:rPr>
          <w:b/>
          <w:spacing w:val="-7"/>
          <w:sz w:val="40"/>
        </w:rPr>
        <w:t xml:space="preserve"> </w:t>
      </w:r>
      <w:r>
        <w:rPr>
          <w:b/>
          <w:sz w:val="40"/>
        </w:rPr>
        <w:t>Integrity</w:t>
      </w:r>
      <w:r>
        <w:rPr>
          <w:b/>
          <w:spacing w:val="-5"/>
          <w:sz w:val="40"/>
        </w:rPr>
        <w:t xml:space="preserve"> </w:t>
      </w:r>
      <w:r>
        <w:rPr>
          <w:b/>
          <w:sz w:val="40"/>
        </w:rPr>
        <w:t>in</w:t>
      </w:r>
      <w:r>
        <w:rPr>
          <w:b/>
          <w:spacing w:val="-5"/>
          <w:sz w:val="40"/>
        </w:rPr>
        <w:t xml:space="preserve"> </w:t>
      </w:r>
      <w:r>
        <w:rPr>
          <w:b/>
          <w:sz w:val="40"/>
        </w:rPr>
        <w:t>AI and Advanced Technologies</w:t>
      </w:r>
    </w:p>
    <w:p w:rsidR="00C05BCF" w:rsidRDefault="00A779E9" w:rsidP="00A779E9">
      <w:pPr>
        <w:spacing w:before="381" w:line="391" w:lineRule="auto"/>
        <w:ind w:right="4"/>
        <w:jc w:val="center"/>
        <w:rPr>
          <w:b/>
          <w:sz w:val="27"/>
        </w:rPr>
      </w:pPr>
      <w:r>
        <w:rPr>
          <w:b/>
          <w:sz w:val="27"/>
        </w:rPr>
        <w:t>DELIVERABLE No. 2: METHOD FIT MATRIX</w:t>
      </w:r>
    </w:p>
    <w:p w:rsidR="00C05BCF" w:rsidRDefault="00C05BCF">
      <w:pPr>
        <w:pStyle w:val="Textoindependiente"/>
        <w:rPr>
          <w:b/>
          <w:sz w:val="27"/>
        </w:rPr>
      </w:pPr>
    </w:p>
    <w:p w:rsidR="00C05BCF" w:rsidRDefault="00C05BCF">
      <w:pPr>
        <w:pStyle w:val="Textoindependiente"/>
        <w:spacing w:before="131"/>
        <w:rPr>
          <w:b/>
          <w:sz w:val="27"/>
        </w:rPr>
      </w:pPr>
    </w:p>
    <w:p w:rsidR="00C05BCF" w:rsidRDefault="00A779E9">
      <w:pPr>
        <w:tabs>
          <w:tab w:val="left" w:pos="3204"/>
        </w:tabs>
        <w:ind w:left="530"/>
        <w:rPr>
          <w:b/>
          <w:sz w:val="27"/>
        </w:rPr>
      </w:pPr>
      <w:r>
        <w:rPr>
          <w:b/>
          <w:sz w:val="27"/>
        </w:rPr>
        <w:t>Course</w:t>
      </w:r>
      <w:r>
        <w:rPr>
          <w:b/>
          <w:spacing w:val="-3"/>
          <w:sz w:val="27"/>
        </w:rPr>
        <w:t xml:space="preserve"> </w:t>
      </w:r>
      <w:r>
        <w:rPr>
          <w:b/>
          <w:spacing w:val="-2"/>
          <w:sz w:val="27"/>
        </w:rPr>
        <w:t>Instructor</w:t>
      </w:r>
      <w:r>
        <w:rPr>
          <w:b/>
          <w:sz w:val="27"/>
        </w:rPr>
        <w:tab/>
        <w:t>Dr.</w:t>
      </w:r>
      <w:r>
        <w:rPr>
          <w:b/>
          <w:spacing w:val="-5"/>
          <w:sz w:val="27"/>
        </w:rPr>
        <w:t xml:space="preserve"> </w:t>
      </w:r>
      <w:r>
        <w:rPr>
          <w:b/>
          <w:sz w:val="27"/>
        </w:rPr>
        <w:t>Loveleen</w:t>
      </w:r>
      <w:r>
        <w:rPr>
          <w:b/>
          <w:spacing w:val="-6"/>
          <w:sz w:val="27"/>
        </w:rPr>
        <w:t xml:space="preserve"> </w:t>
      </w:r>
      <w:r>
        <w:rPr>
          <w:b/>
          <w:spacing w:val="-4"/>
          <w:sz w:val="27"/>
        </w:rPr>
        <w:t>Gaur</w:t>
      </w:r>
    </w:p>
    <w:p w:rsidR="00C05BCF" w:rsidRDefault="00C05BCF">
      <w:pPr>
        <w:pStyle w:val="Textoindependiente"/>
        <w:spacing w:before="133"/>
        <w:rPr>
          <w:b/>
          <w:sz w:val="27"/>
        </w:rPr>
      </w:pPr>
    </w:p>
    <w:p w:rsidR="00C05BCF" w:rsidRDefault="00A779E9">
      <w:pPr>
        <w:tabs>
          <w:tab w:val="left" w:pos="3204"/>
        </w:tabs>
        <w:ind w:left="530"/>
        <w:rPr>
          <w:b/>
          <w:sz w:val="27"/>
        </w:rPr>
      </w:pPr>
      <w:r>
        <w:rPr>
          <w:b/>
          <w:spacing w:val="-2"/>
          <w:sz w:val="27"/>
        </w:rPr>
        <w:t>Student</w:t>
      </w:r>
      <w:r>
        <w:rPr>
          <w:b/>
          <w:sz w:val="27"/>
        </w:rPr>
        <w:tab/>
        <w:t>Félix Richar Mendoza Pumacahua</w:t>
      </w:r>
    </w:p>
    <w:p w:rsidR="00C05BCF" w:rsidRDefault="00C05BCF">
      <w:pPr>
        <w:pStyle w:val="Textoindependiente"/>
        <w:rPr>
          <w:b/>
          <w:sz w:val="27"/>
        </w:rPr>
      </w:pPr>
    </w:p>
    <w:p w:rsidR="00C05BCF" w:rsidRDefault="00C05BCF">
      <w:pPr>
        <w:pStyle w:val="Textoindependiente"/>
        <w:rPr>
          <w:b/>
          <w:sz w:val="27"/>
        </w:rPr>
      </w:pPr>
    </w:p>
    <w:p w:rsidR="00C05BCF" w:rsidRDefault="00C05BCF">
      <w:pPr>
        <w:pStyle w:val="Textoindependiente"/>
        <w:spacing w:before="270"/>
        <w:rPr>
          <w:b/>
          <w:sz w:val="27"/>
        </w:rPr>
      </w:pPr>
    </w:p>
    <w:p w:rsidR="00C05BCF" w:rsidRDefault="00A779E9">
      <w:pPr>
        <w:pStyle w:val="Ttulo2"/>
      </w:pPr>
      <w:r>
        <w:t>2026</w:t>
      </w:r>
      <w:r>
        <w:rPr>
          <w:spacing w:val="-2"/>
        </w:rPr>
        <w:t xml:space="preserve"> </w:t>
      </w:r>
      <w:r>
        <w:t>-</w:t>
      </w:r>
      <w:r>
        <w:rPr>
          <w:spacing w:val="-1"/>
        </w:rPr>
        <w:t xml:space="preserve"> </w:t>
      </w:r>
      <w:r>
        <w:rPr>
          <w:spacing w:val="-5"/>
        </w:rPr>
        <w:t>II</w:t>
      </w:r>
    </w:p>
    <w:p w:rsidR="00C05BCF" w:rsidRDefault="00C05BCF">
      <w:pPr>
        <w:pStyle w:val="Textoindependiente"/>
        <w:rPr>
          <w:b/>
          <w:sz w:val="21"/>
        </w:rPr>
      </w:pPr>
    </w:p>
    <w:p w:rsidR="00C05BCF" w:rsidRDefault="00C05BCF">
      <w:pPr>
        <w:pStyle w:val="Textoindependiente"/>
        <w:rPr>
          <w:b/>
          <w:sz w:val="21"/>
        </w:rPr>
      </w:pPr>
    </w:p>
    <w:p w:rsidR="00C05BCF" w:rsidRDefault="00C05BCF">
      <w:pPr>
        <w:pStyle w:val="Textoindependiente"/>
        <w:rPr>
          <w:b/>
          <w:sz w:val="21"/>
        </w:rPr>
      </w:pPr>
    </w:p>
    <w:p w:rsidR="00C05BCF" w:rsidRDefault="00C05BCF">
      <w:pPr>
        <w:pStyle w:val="Textoindependiente"/>
        <w:spacing w:before="29"/>
        <w:rPr>
          <w:b/>
          <w:sz w:val="21"/>
        </w:rPr>
      </w:pPr>
    </w:p>
    <w:p w:rsidR="00C05BCF" w:rsidRDefault="00A779E9">
      <w:pPr>
        <w:spacing w:before="1"/>
        <w:ind w:right="257"/>
        <w:jc w:val="right"/>
        <w:rPr>
          <w:rFonts w:ascii="Trebuchet MS"/>
          <w:sz w:val="21"/>
        </w:rPr>
      </w:pPr>
      <w:r>
        <w:rPr>
          <w:rFonts w:ascii="Trebuchet MS"/>
          <w:color w:val="1F2937"/>
          <w:spacing w:val="-10"/>
          <w:sz w:val="21"/>
        </w:rPr>
        <w:t>1</w:t>
      </w:r>
    </w:p>
    <w:p w:rsidR="00C05BCF" w:rsidRDefault="00C05BCF">
      <w:pPr>
        <w:jc w:val="right"/>
        <w:rPr>
          <w:rFonts w:ascii="Trebuchet MS"/>
          <w:sz w:val="21"/>
        </w:rPr>
        <w:sectPr w:rsidR="00C05BCF">
          <w:type w:val="continuous"/>
          <w:pgSz w:w="12240" w:h="15840"/>
          <w:pgMar w:top="1360" w:right="1440" w:bottom="280" w:left="1440" w:header="720" w:footer="720" w:gutter="0"/>
          <w:cols w:space="720"/>
        </w:sectPr>
      </w:pPr>
    </w:p>
    <w:p w:rsidR="00C05BCF" w:rsidRDefault="00A779E9">
      <w:pPr>
        <w:spacing w:before="73" w:line="276" w:lineRule="auto"/>
        <w:ind w:left="982" w:right="575"/>
        <w:rPr>
          <w:sz w:val="24"/>
        </w:rPr>
      </w:pPr>
      <w:proofErr w:type="spellStart"/>
      <w:r>
        <w:rPr>
          <w:b/>
          <w:sz w:val="24"/>
        </w:rPr>
        <w:lastRenderedPageBreak/>
        <w:t>Pregunta</w:t>
      </w:r>
      <w:proofErr w:type="spellEnd"/>
      <w:r>
        <w:rPr>
          <w:b/>
          <w:sz w:val="24"/>
        </w:rPr>
        <w:t xml:space="preserve"> de </w:t>
      </w:r>
      <w:proofErr w:type="spellStart"/>
      <w:r>
        <w:rPr>
          <w:b/>
          <w:sz w:val="24"/>
        </w:rPr>
        <w:t>investigación</w:t>
      </w:r>
      <w:proofErr w:type="spellEnd"/>
      <w:r>
        <w:rPr>
          <w:b/>
          <w:sz w:val="24"/>
        </w:rPr>
        <w:t xml:space="preserve"> </w:t>
      </w:r>
      <w:proofErr w:type="spellStart"/>
      <w:r>
        <w:rPr>
          <w:b/>
          <w:sz w:val="24"/>
        </w:rPr>
        <w:t>acotada</w:t>
      </w:r>
      <w:proofErr w:type="spellEnd"/>
      <w:r>
        <w:rPr>
          <w:b/>
          <w:sz w:val="24"/>
        </w:rPr>
        <w:t xml:space="preserve">: </w:t>
      </w:r>
      <w:r w:rsidR="00C13111" w:rsidRPr="00C13111">
        <w:rPr>
          <w:sz w:val="24"/>
        </w:rPr>
        <w:t>¿</w:t>
      </w:r>
      <w:proofErr w:type="spellStart"/>
      <w:r w:rsidR="00C13111" w:rsidRPr="00C13111">
        <w:rPr>
          <w:sz w:val="24"/>
        </w:rPr>
        <w:t>Cómo</w:t>
      </w:r>
      <w:proofErr w:type="spellEnd"/>
      <w:r w:rsidR="00C13111" w:rsidRPr="00C13111">
        <w:rPr>
          <w:sz w:val="24"/>
        </w:rPr>
        <w:t xml:space="preserve"> </w:t>
      </w:r>
      <w:proofErr w:type="spellStart"/>
      <w:r w:rsidR="00C13111" w:rsidRPr="00C13111">
        <w:rPr>
          <w:sz w:val="24"/>
        </w:rPr>
        <w:t>debería</w:t>
      </w:r>
      <w:proofErr w:type="spellEnd"/>
      <w:r w:rsidR="00C13111" w:rsidRPr="00C13111">
        <w:rPr>
          <w:sz w:val="24"/>
        </w:rPr>
        <w:t xml:space="preserve"> </w:t>
      </w:r>
      <w:proofErr w:type="spellStart"/>
      <w:r w:rsidR="00C13111" w:rsidRPr="00C13111">
        <w:rPr>
          <w:sz w:val="24"/>
        </w:rPr>
        <w:t>estructurarse</w:t>
      </w:r>
      <w:proofErr w:type="spellEnd"/>
      <w:r w:rsidR="00C13111" w:rsidRPr="00C13111">
        <w:rPr>
          <w:sz w:val="24"/>
        </w:rPr>
        <w:t xml:space="preserve"> una </w:t>
      </w:r>
      <w:proofErr w:type="spellStart"/>
      <w:r w:rsidR="00C13111" w:rsidRPr="00C13111">
        <w:rPr>
          <w:sz w:val="24"/>
        </w:rPr>
        <w:t>arquitectura</w:t>
      </w:r>
      <w:proofErr w:type="spellEnd"/>
      <w:r w:rsidR="00C13111" w:rsidRPr="00C13111">
        <w:rPr>
          <w:sz w:val="24"/>
        </w:rPr>
        <w:t xml:space="preserve"> de </w:t>
      </w:r>
      <w:proofErr w:type="spellStart"/>
      <w:r w:rsidR="00C13111" w:rsidRPr="00C13111">
        <w:rPr>
          <w:sz w:val="24"/>
        </w:rPr>
        <w:t>referencia</w:t>
      </w:r>
      <w:proofErr w:type="spellEnd"/>
      <w:r w:rsidR="00C13111" w:rsidRPr="00C13111">
        <w:rPr>
          <w:sz w:val="24"/>
        </w:rPr>
        <w:t xml:space="preserve"> </w:t>
      </w:r>
      <w:proofErr w:type="spellStart"/>
      <w:r w:rsidR="00C13111" w:rsidRPr="00C13111">
        <w:rPr>
          <w:sz w:val="24"/>
        </w:rPr>
        <w:t>basada</w:t>
      </w:r>
      <w:proofErr w:type="spellEnd"/>
      <w:r w:rsidR="00C13111" w:rsidRPr="00C13111">
        <w:rPr>
          <w:sz w:val="24"/>
        </w:rPr>
        <w:t xml:space="preserve"> </w:t>
      </w:r>
      <w:proofErr w:type="spellStart"/>
      <w:r w:rsidR="00C13111" w:rsidRPr="00C13111">
        <w:rPr>
          <w:sz w:val="24"/>
        </w:rPr>
        <w:t>en</w:t>
      </w:r>
      <w:proofErr w:type="spellEnd"/>
      <w:r w:rsidR="00C13111" w:rsidRPr="00C13111">
        <w:rPr>
          <w:sz w:val="24"/>
        </w:rPr>
        <w:t xml:space="preserve"> </w:t>
      </w:r>
      <w:proofErr w:type="spellStart"/>
      <w:r w:rsidR="00C13111" w:rsidRPr="00C13111">
        <w:rPr>
          <w:sz w:val="24"/>
        </w:rPr>
        <w:t>agentes</w:t>
      </w:r>
      <w:proofErr w:type="spellEnd"/>
      <w:r w:rsidR="00C13111" w:rsidRPr="00C13111">
        <w:rPr>
          <w:sz w:val="24"/>
        </w:rPr>
        <w:t xml:space="preserve"> de IA </w:t>
      </w:r>
      <w:proofErr w:type="spellStart"/>
      <w:r w:rsidR="00C13111" w:rsidRPr="00C13111">
        <w:rPr>
          <w:sz w:val="24"/>
        </w:rPr>
        <w:t>generativos</w:t>
      </w:r>
      <w:proofErr w:type="spellEnd"/>
      <w:r w:rsidR="00C13111" w:rsidRPr="00C13111">
        <w:rPr>
          <w:sz w:val="24"/>
        </w:rPr>
        <w:t xml:space="preserve"> </w:t>
      </w:r>
      <w:proofErr w:type="spellStart"/>
      <w:r w:rsidR="00C13111" w:rsidRPr="00C13111">
        <w:rPr>
          <w:sz w:val="24"/>
        </w:rPr>
        <w:t>especializados</w:t>
      </w:r>
      <w:proofErr w:type="spellEnd"/>
      <w:r w:rsidR="00C13111" w:rsidRPr="00C13111">
        <w:rPr>
          <w:sz w:val="24"/>
        </w:rPr>
        <w:t xml:space="preserve"> para </w:t>
      </w:r>
      <w:proofErr w:type="spellStart"/>
      <w:r w:rsidR="00C13111" w:rsidRPr="00C13111">
        <w:rPr>
          <w:sz w:val="24"/>
        </w:rPr>
        <w:t>automatizar</w:t>
      </w:r>
      <w:proofErr w:type="spellEnd"/>
      <w:r w:rsidR="00C13111" w:rsidRPr="00C13111">
        <w:rPr>
          <w:sz w:val="24"/>
        </w:rPr>
        <w:t xml:space="preserve"> y </w:t>
      </w:r>
      <w:proofErr w:type="spellStart"/>
      <w:r w:rsidR="00C13111" w:rsidRPr="00C13111">
        <w:rPr>
          <w:sz w:val="24"/>
        </w:rPr>
        <w:t>verificar</w:t>
      </w:r>
      <w:proofErr w:type="spellEnd"/>
      <w:r w:rsidR="00C13111" w:rsidRPr="00C13111">
        <w:rPr>
          <w:sz w:val="24"/>
        </w:rPr>
        <w:t xml:space="preserve"> el </w:t>
      </w:r>
      <w:proofErr w:type="spellStart"/>
      <w:r w:rsidR="00C13111" w:rsidRPr="00C13111">
        <w:rPr>
          <w:sz w:val="24"/>
        </w:rPr>
        <w:t>desarrollo</w:t>
      </w:r>
      <w:proofErr w:type="spellEnd"/>
      <w:r w:rsidR="00C13111" w:rsidRPr="00C13111">
        <w:rPr>
          <w:sz w:val="24"/>
        </w:rPr>
        <w:t xml:space="preserve"> de </w:t>
      </w:r>
      <w:proofErr w:type="spellStart"/>
      <w:r w:rsidR="00C13111" w:rsidRPr="00C13111">
        <w:rPr>
          <w:sz w:val="24"/>
        </w:rPr>
        <w:t>sistemas</w:t>
      </w:r>
      <w:proofErr w:type="spellEnd"/>
      <w:r w:rsidR="00C13111" w:rsidRPr="00C13111">
        <w:rPr>
          <w:sz w:val="24"/>
        </w:rPr>
        <w:t xml:space="preserve"> de </w:t>
      </w:r>
      <w:proofErr w:type="spellStart"/>
      <w:r w:rsidR="00C13111" w:rsidRPr="00C13111">
        <w:rPr>
          <w:sz w:val="24"/>
        </w:rPr>
        <w:t>información</w:t>
      </w:r>
      <w:proofErr w:type="spellEnd"/>
      <w:r w:rsidR="00C13111" w:rsidRPr="00C13111">
        <w:rPr>
          <w:sz w:val="24"/>
        </w:rPr>
        <w:t xml:space="preserve"> de </w:t>
      </w:r>
      <w:proofErr w:type="spellStart"/>
      <w:r w:rsidR="00C13111" w:rsidRPr="00C13111">
        <w:rPr>
          <w:sz w:val="24"/>
        </w:rPr>
        <w:t>estado</w:t>
      </w:r>
      <w:proofErr w:type="spellEnd"/>
      <w:r w:rsidR="00C13111" w:rsidRPr="00C13111">
        <w:rPr>
          <w:sz w:val="24"/>
        </w:rPr>
        <w:t xml:space="preserve"> </w:t>
      </w:r>
      <w:proofErr w:type="spellStart"/>
      <w:r w:rsidR="00C13111" w:rsidRPr="00C13111">
        <w:rPr>
          <w:sz w:val="24"/>
        </w:rPr>
        <w:t>críticos</w:t>
      </w:r>
      <w:proofErr w:type="spellEnd"/>
      <w:r w:rsidR="00C13111" w:rsidRPr="00C13111">
        <w:rPr>
          <w:sz w:val="24"/>
        </w:rPr>
        <w:t xml:space="preserve">, </w:t>
      </w:r>
      <w:proofErr w:type="spellStart"/>
      <w:r w:rsidR="00C13111" w:rsidRPr="00C13111">
        <w:rPr>
          <w:sz w:val="24"/>
        </w:rPr>
        <w:t>garantizando</w:t>
      </w:r>
      <w:proofErr w:type="spellEnd"/>
      <w:r w:rsidR="00C13111" w:rsidRPr="00C13111">
        <w:rPr>
          <w:sz w:val="24"/>
        </w:rPr>
        <w:t xml:space="preserve"> </w:t>
      </w:r>
      <w:proofErr w:type="spellStart"/>
      <w:r w:rsidR="00C13111" w:rsidRPr="00C13111">
        <w:rPr>
          <w:sz w:val="24"/>
        </w:rPr>
        <w:t>su</w:t>
      </w:r>
      <w:proofErr w:type="spellEnd"/>
      <w:r w:rsidR="00C13111" w:rsidRPr="00C13111">
        <w:rPr>
          <w:sz w:val="24"/>
        </w:rPr>
        <w:t xml:space="preserve"> </w:t>
      </w:r>
      <w:proofErr w:type="spellStart"/>
      <w:r w:rsidR="00C13111" w:rsidRPr="00C13111">
        <w:rPr>
          <w:sz w:val="24"/>
        </w:rPr>
        <w:t>conformidad</w:t>
      </w:r>
      <w:proofErr w:type="spellEnd"/>
      <w:r w:rsidR="00C13111" w:rsidRPr="00C13111">
        <w:rPr>
          <w:sz w:val="24"/>
        </w:rPr>
        <w:t xml:space="preserve"> con la </w:t>
      </w:r>
      <w:proofErr w:type="spellStart"/>
      <w:r w:rsidR="00C13111" w:rsidRPr="00C13111">
        <w:rPr>
          <w:sz w:val="24"/>
        </w:rPr>
        <w:t>arquitectura</w:t>
      </w:r>
      <w:proofErr w:type="spellEnd"/>
      <w:r w:rsidR="00C13111" w:rsidRPr="00C13111">
        <w:rPr>
          <w:sz w:val="24"/>
        </w:rPr>
        <w:t xml:space="preserve"> </w:t>
      </w:r>
      <w:proofErr w:type="spellStart"/>
      <w:r w:rsidR="00C13111" w:rsidRPr="00C13111">
        <w:rPr>
          <w:sz w:val="24"/>
        </w:rPr>
        <w:t>empresarial</w:t>
      </w:r>
      <w:proofErr w:type="spellEnd"/>
      <w:r w:rsidR="00C13111" w:rsidRPr="00C13111">
        <w:rPr>
          <w:sz w:val="24"/>
        </w:rPr>
        <w:t xml:space="preserve"> y las </w:t>
      </w:r>
      <w:proofErr w:type="spellStart"/>
      <w:r w:rsidR="00C13111" w:rsidRPr="00C13111">
        <w:rPr>
          <w:sz w:val="24"/>
        </w:rPr>
        <w:t>normativas</w:t>
      </w:r>
      <w:proofErr w:type="spellEnd"/>
      <w:r w:rsidR="00C13111" w:rsidRPr="00C13111">
        <w:rPr>
          <w:sz w:val="24"/>
        </w:rPr>
        <w:t xml:space="preserve"> </w:t>
      </w:r>
      <w:proofErr w:type="spellStart"/>
      <w:r w:rsidR="00C13111" w:rsidRPr="00C13111">
        <w:rPr>
          <w:sz w:val="24"/>
        </w:rPr>
        <w:t>aplicables</w:t>
      </w:r>
      <w:proofErr w:type="spellEnd"/>
      <w:r w:rsidR="00C13111" w:rsidRPr="00C13111">
        <w:rPr>
          <w:sz w:val="24"/>
        </w:rPr>
        <w:t>?</w:t>
      </w:r>
      <w:bookmarkStart w:id="0" w:name="_GoBack"/>
      <w:bookmarkEnd w:id="0"/>
    </w:p>
    <w:p w:rsidR="00C05BCF" w:rsidRDefault="00C05BCF">
      <w:pPr>
        <w:pStyle w:val="Textoindependiente"/>
        <w:rPr>
          <w:sz w:val="7"/>
        </w:rPr>
      </w:pPr>
    </w:p>
    <w:tbl>
      <w:tblPr>
        <w:tblStyle w:val="TableNormal"/>
        <w:tblW w:w="0" w:type="auto"/>
        <w:tblInd w:w="1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2537"/>
        <w:gridCol w:w="2693"/>
        <w:gridCol w:w="2837"/>
        <w:gridCol w:w="2976"/>
        <w:gridCol w:w="3065"/>
      </w:tblGrid>
      <w:tr w:rsidR="00F930B0">
        <w:trPr>
          <w:trHeight w:val="500"/>
        </w:trPr>
        <w:tc>
          <w:tcPr>
            <w:tcW w:w="2537" w:type="dxa"/>
            <w:shd w:val="clear" w:color="auto" w:fill="17365D"/>
            <w:vAlign w:val="center"/>
          </w:tcPr>
          <w:p w:rsidR="00F930B0" w:rsidRDefault="00D258C6">
            <w:pPr>
              <w:pStyle w:val="TableParagraph"/>
              <w:spacing w:before="30" w:after="30" w:line="248" w:lineRule="auto"/>
              <w:ind w:left="120" w:right="90"/>
              <w:rPr>
                <w:sz w:val="20"/>
              </w:rPr>
            </w:pPr>
            <w:r>
              <w:rPr>
                <w:b/>
                <w:color w:val="FFFFFF"/>
                <w:sz w:val="20"/>
              </w:rPr>
              <w:t>Criterio / Peso</w:t>
            </w:r>
          </w:p>
        </w:tc>
        <w:tc>
          <w:tcPr>
            <w:tcW w:w="2693" w:type="dxa"/>
            <w:shd w:val="clear" w:color="auto" w:fill="17365D"/>
            <w:vAlign w:val="center"/>
          </w:tcPr>
          <w:p w:rsidR="00F930B0" w:rsidRDefault="00D258C6">
            <w:pPr>
              <w:pStyle w:val="TableParagraph"/>
              <w:spacing w:before="30" w:after="30" w:line="248" w:lineRule="auto"/>
              <w:ind w:left="90" w:right="90"/>
              <w:jc w:val="center"/>
              <w:rPr>
                <w:sz w:val="20"/>
              </w:rPr>
            </w:pPr>
            <w:r>
              <w:rPr>
                <w:b/>
                <w:color w:val="FFFFFF"/>
                <w:sz w:val="20"/>
              </w:rPr>
              <w:t>Experimento puro</w:t>
            </w:r>
          </w:p>
        </w:tc>
        <w:tc>
          <w:tcPr>
            <w:tcW w:w="2837" w:type="dxa"/>
            <w:shd w:val="clear" w:color="auto" w:fill="17365D"/>
            <w:vAlign w:val="center"/>
          </w:tcPr>
          <w:p w:rsidR="00F930B0" w:rsidRDefault="00D258C6">
            <w:pPr>
              <w:pStyle w:val="TableParagraph"/>
              <w:spacing w:before="30" w:after="30" w:line="248" w:lineRule="auto"/>
              <w:ind w:left="90" w:right="90"/>
              <w:jc w:val="center"/>
              <w:rPr>
                <w:sz w:val="20"/>
              </w:rPr>
            </w:pPr>
            <w:r>
              <w:rPr>
                <w:b/>
                <w:color w:val="FFFFFF"/>
                <w:sz w:val="20"/>
              </w:rPr>
              <w:t>Simulación</w:t>
            </w:r>
          </w:p>
        </w:tc>
        <w:tc>
          <w:tcPr>
            <w:tcW w:w="2976" w:type="dxa"/>
            <w:shd w:val="clear" w:color="auto" w:fill="17365D"/>
            <w:vAlign w:val="center"/>
          </w:tcPr>
          <w:p w:rsidR="00F930B0" w:rsidRDefault="00D258C6">
            <w:pPr>
              <w:pStyle w:val="TableParagraph"/>
              <w:spacing w:before="30" w:after="30" w:line="248" w:lineRule="auto"/>
              <w:ind w:left="90" w:right="90"/>
              <w:jc w:val="center"/>
              <w:rPr>
                <w:sz w:val="20"/>
              </w:rPr>
            </w:pPr>
            <w:r>
              <w:rPr>
                <w:b/>
                <w:color w:val="FFFFFF"/>
                <w:sz w:val="20"/>
              </w:rPr>
              <w:t>Métodos mixtos</w:t>
            </w:r>
          </w:p>
        </w:tc>
        <w:tc>
          <w:tcPr>
            <w:tcW w:w="3065" w:type="dxa"/>
            <w:shd w:val="clear" w:color="auto" w:fill="17365D"/>
            <w:vAlign w:val="center"/>
          </w:tcPr>
          <w:p w:rsidR="00F930B0" w:rsidRDefault="00D258C6">
            <w:pPr>
              <w:pStyle w:val="TableParagraph"/>
              <w:spacing w:before="30" w:after="30" w:line="248" w:lineRule="auto"/>
              <w:ind w:left="90" w:right="90"/>
              <w:jc w:val="center"/>
              <w:rPr>
                <w:sz w:val="20"/>
              </w:rPr>
            </w:pPr>
            <w:r>
              <w:rPr>
                <w:b/>
                <w:color w:val="FFFFFF"/>
                <w:sz w:val="20"/>
              </w:rPr>
              <w:t>Investigación en Ciencias del Diseño (DSR)</w:t>
            </w:r>
          </w:p>
        </w:tc>
      </w:tr>
      <w:tr w:rsidR="00F930B0">
        <w:trPr>
          <w:trHeight w:val="1050"/>
        </w:trPr>
        <w:tc>
          <w:tcPr>
            <w:tcW w:w="2537" w:type="dxa"/>
            <w:shd w:val="clear" w:color="auto" w:fill="D9EAF7"/>
            <w:vAlign w:val="center"/>
          </w:tcPr>
          <w:p w:rsidR="00F930B0" w:rsidRDefault="00D258C6">
            <w:pPr>
              <w:pStyle w:val="TableParagraph"/>
              <w:spacing w:before="30" w:after="30" w:line="248" w:lineRule="auto"/>
              <w:ind w:left="90" w:right="90"/>
              <w:rPr>
                <w:sz w:val="20"/>
              </w:rPr>
            </w:pPr>
            <w:r>
              <w:rPr>
                <w:b/>
                <w:sz w:val="20"/>
              </w:rPr>
              <w:t>E: Ajuste epistemológico (30%)</w:t>
            </w:r>
          </w:p>
        </w:tc>
        <w:tc>
          <w:tcPr>
            <w:tcW w:w="2693"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 </w:t>
            </w:r>
            <w:r>
              <w:rPr>
                <w:sz w:val="20"/>
              </w:rPr>
              <w:t>Permite probar efectos causales (p. ej., si separar la generación y la verificación reduce los defectos), pero no gobierna el diseño del artefacto de arquitectura de referencia.</w:t>
            </w:r>
          </w:p>
        </w:tc>
        <w:tc>
          <w:tcPr>
            <w:tcW w:w="2837" w:type="dxa"/>
            <w:shd w:val="clear" w:color="auto" w:fill="FBE8E6"/>
            <w:vAlign w:val="center"/>
          </w:tcPr>
          <w:p w:rsidR="00F930B0" w:rsidRDefault="00D258C6">
            <w:pPr>
              <w:pStyle w:val="TableParagraph"/>
              <w:spacing w:before="30" w:after="30" w:line="248" w:lineRule="auto"/>
              <w:ind w:left="90" w:right="90"/>
              <w:rPr>
                <w:sz w:val="20"/>
              </w:rPr>
            </w:pPr>
            <w:r>
              <w:rPr>
                <w:b/>
                <w:sz w:val="20"/>
              </w:rPr>
              <w:t xml:space="preserve">2/5 - </w:t>
            </w:r>
            <w:r>
              <w:rPr>
                <w:sz w:val="20"/>
              </w:rPr>
              <w:t>Permite modelar el pipeline de agentes e inyectar fallos, pero encaja débilmente con una afirmación de conocimiento sobre un artefacto real y gobernado bajo restricciones de arquitectura empresarial y regulatorias.</w:t>
            </w:r>
          </w:p>
        </w:tc>
        <w:tc>
          <w:tcPr>
            <w:tcW w:w="2976"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4/5 - </w:t>
            </w:r>
            <w:r>
              <w:rPr>
                <w:sz w:val="20"/>
              </w:rPr>
              <w:t xml:space="preserve">Integra evidencia cuantitativa y cualitativa, pero es </w:t>
            </w:r>
            <w:proofErr w:type="spellStart"/>
            <w:r>
              <w:rPr>
                <w:sz w:val="20"/>
              </w:rPr>
              <w:t>más</w:t>
            </w:r>
            <w:proofErr w:type="spellEnd"/>
            <w:r>
              <w:rPr>
                <w:sz w:val="20"/>
              </w:rPr>
              <w:t xml:space="preserve"> </w:t>
            </w:r>
            <w:proofErr w:type="spellStart"/>
            <w:r>
              <w:rPr>
                <w:sz w:val="20"/>
              </w:rPr>
              <w:t>amplio</w:t>
            </w:r>
            <w:proofErr w:type="spellEnd"/>
            <w:r>
              <w:rPr>
                <w:sz w:val="20"/>
              </w:rPr>
              <w:t xml:space="preserve"> que </w:t>
            </w:r>
            <w:r w:rsidR="00B86BCF">
              <w:rPr>
                <w:sz w:val="20"/>
              </w:rPr>
              <w:t>-</w:t>
            </w:r>
            <w:r>
              <w:rPr>
                <w:sz w:val="20"/>
              </w:rPr>
              <w:t xml:space="preserve">y no produce por </w:t>
            </w:r>
            <w:proofErr w:type="spellStart"/>
            <w:r>
              <w:rPr>
                <w:sz w:val="20"/>
              </w:rPr>
              <w:t>sí</w:t>
            </w:r>
            <w:proofErr w:type="spellEnd"/>
            <w:r>
              <w:rPr>
                <w:sz w:val="20"/>
              </w:rPr>
              <w:t xml:space="preserve"> </w:t>
            </w:r>
            <w:proofErr w:type="spellStart"/>
            <w:r>
              <w:rPr>
                <w:sz w:val="20"/>
              </w:rPr>
              <w:t>mismo</w:t>
            </w:r>
            <w:proofErr w:type="spellEnd"/>
            <w:r w:rsidR="00B86BCF">
              <w:rPr>
                <w:sz w:val="20"/>
              </w:rPr>
              <w:t>-</w:t>
            </w:r>
            <w:r>
              <w:rPr>
                <w:sz w:val="20"/>
              </w:rPr>
              <w:t xml:space="preserve"> la </w:t>
            </w:r>
            <w:proofErr w:type="spellStart"/>
            <w:r>
              <w:rPr>
                <w:sz w:val="20"/>
              </w:rPr>
              <w:t>contribución</w:t>
            </w:r>
            <w:proofErr w:type="spellEnd"/>
            <w:r>
              <w:rPr>
                <w:sz w:val="20"/>
              </w:rPr>
              <w:t xml:space="preserve"> de diseño central.</w:t>
            </w:r>
          </w:p>
        </w:tc>
        <w:tc>
          <w:tcPr>
            <w:tcW w:w="3065"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5/5 - </w:t>
            </w:r>
            <w:r>
              <w:rPr>
                <w:sz w:val="20"/>
              </w:rPr>
              <w:t>Ajuste natural: el conocimiento se genera construyendo y evaluando el artefacto de arquitectura de referencia.</w:t>
            </w:r>
          </w:p>
        </w:tc>
      </w:tr>
      <w:tr w:rsidR="00F930B0">
        <w:trPr>
          <w:trHeight w:val="1050"/>
        </w:trPr>
        <w:tc>
          <w:tcPr>
            <w:tcW w:w="2537" w:type="dxa"/>
            <w:shd w:val="clear" w:color="auto" w:fill="D9EAF7"/>
            <w:vAlign w:val="center"/>
          </w:tcPr>
          <w:p w:rsidR="00F930B0" w:rsidRDefault="00D258C6">
            <w:pPr>
              <w:pStyle w:val="TableParagraph"/>
              <w:spacing w:before="30" w:after="30" w:line="248" w:lineRule="auto"/>
              <w:ind w:left="90" w:right="90"/>
              <w:rPr>
                <w:sz w:val="20"/>
              </w:rPr>
            </w:pPr>
            <w:r>
              <w:rPr>
                <w:b/>
                <w:sz w:val="20"/>
              </w:rPr>
              <w:t>D: Viabilidad de datos (20%)</w:t>
            </w:r>
          </w:p>
        </w:tc>
        <w:tc>
          <w:tcPr>
            <w:tcW w:w="2693" w:type="dxa"/>
            <w:shd w:val="clear" w:color="auto" w:fill="FBE8E6"/>
            <w:vAlign w:val="center"/>
          </w:tcPr>
          <w:p w:rsidR="00F930B0" w:rsidRDefault="00D258C6">
            <w:pPr>
              <w:pStyle w:val="TableParagraph"/>
              <w:spacing w:before="30" w:after="30" w:line="248" w:lineRule="auto"/>
              <w:ind w:left="90" w:right="90"/>
              <w:rPr>
                <w:sz w:val="20"/>
              </w:rPr>
            </w:pPr>
            <w:r>
              <w:rPr>
                <w:b/>
                <w:sz w:val="20"/>
              </w:rPr>
              <w:t xml:space="preserve">2/5 - </w:t>
            </w:r>
            <w:r>
              <w:rPr>
                <w:sz w:val="20"/>
              </w:rPr>
              <w:t>Es difícil obtener tareas de desarrollo aleatorizadas y comparables en una entidad pública en operación, y los datos sensibles de pensiones restringen el acceso.</w:t>
            </w:r>
          </w:p>
        </w:tc>
        <w:tc>
          <w:tcPr>
            <w:tcW w:w="2837"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 </w:t>
            </w:r>
            <w:r>
              <w:rPr>
                <w:sz w:val="20"/>
              </w:rPr>
              <w:t>Las cargas de trabajo sintéticas y la inyección de defectos son posibles, pero modelar fielmente la arquitectura empresarial y las regulaciones exige muchos recursos.</w:t>
            </w:r>
          </w:p>
        </w:tc>
        <w:tc>
          <w:tcPr>
            <w:tcW w:w="2976"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 </w:t>
            </w:r>
            <w:r>
              <w:rPr>
                <w:sz w:val="20"/>
              </w:rPr>
              <w:t>Requiere tanto mediciones cuantitativas repetidas como datos cualitativos de expertos.</w:t>
            </w:r>
          </w:p>
        </w:tc>
        <w:tc>
          <w:tcPr>
            <w:tcW w:w="3065"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4/5 - </w:t>
            </w:r>
            <w:r>
              <w:rPr>
                <w:sz w:val="20"/>
              </w:rPr>
              <w:t>Los registros (logs) del prototipo, la documentación de arquitectura empresarial, los repositorios de código, los artefactos de desarrollo y la retroalimentación focalizada de expertos son obtenibles sin datos personales.</w:t>
            </w:r>
          </w:p>
        </w:tc>
      </w:tr>
      <w:tr w:rsidR="00F930B0">
        <w:trPr>
          <w:trHeight w:val="1000"/>
        </w:trPr>
        <w:tc>
          <w:tcPr>
            <w:tcW w:w="2537" w:type="dxa"/>
            <w:shd w:val="clear" w:color="auto" w:fill="D9EAF7"/>
            <w:vAlign w:val="center"/>
          </w:tcPr>
          <w:p w:rsidR="00F930B0" w:rsidRDefault="00D258C6">
            <w:pPr>
              <w:pStyle w:val="TableParagraph"/>
              <w:spacing w:before="30" w:after="30" w:line="248" w:lineRule="auto"/>
              <w:ind w:left="90" w:right="90"/>
              <w:rPr>
                <w:sz w:val="20"/>
              </w:rPr>
            </w:pPr>
            <w:r>
              <w:rPr>
                <w:b/>
                <w:sz w:val="20"/>
              </w:rPr>
              <w:t>F: Viabilidad (15%)</w:t>
            </w:r>
          </w:p>
        </w:tc>
        <w:tc>
          <w:tcPr>
            <w:tcW w:w="2693" w:type="dxa"/>
            <w:shd w:val="clear" w:color="auto" w:fill="FBE8E6"/>
            <w:vAlign w:val="center"/>
          </w:tcPr>
          <w:p w:rsidR="00F930B0" w:rsidRDefault="00D258C6">
            <w:pPr>
              <w:pStyle w:val="TableParagraph"/>
              <w:spacing w:before="30" w:after="30" w:line="248" w:lineRule="auto"/>
              <w:ind w:left="90" w:right="90"/>
              <w:rPr>
                <w:sz w:val="20"/>
              </w:rPr>
            </w:pPr>
            <w:r>
              <w:rPr>
                <w:b/>
                <w:sz w:val="20"/>
              </w:rPr>
              <w:t xml:space="preserve">2/5 - </w:t>
            </w:r>
            <w:r>
              <w:rPr>
                <w:sz w:val="20"/>
              </w:rPr>
              <w:t>La alta carga de control y aleatorización, sumada al acceso a entornos similares a producción, es difícil de asegurar en tres años.</w:t>
            </w:r>
          </w:p>
        </w:tc>
        <w:tc>
          <w:tcPr>
            <w:tcW w:w="2837"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 </w:t>
            </w:r>
            <w:r>
              <w:rPr>
                <w:sz w:val="20"/>
              </w:rPr>
              <w:t>Viable, pero modelar fielmente las regulaciones, las reglas de arquitectura empresarial (EA) y los modos de falla correlacionados añade tiempo.</w:t>
            </w:r>
          </w:p>
        </w:tc>
        <w:tc>
          <w:tcPr>
            <w:tcW w:w="2976"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 </w:t>
            </w:r>
            <w:r>
              <w:rPr>
                <w:sz w:val="20"/>
              </w:rPr>
              <w:t>Viable solo si se acota estrictamente; un estudio completo de métodos mixtos corre el riesgo de sobreextenderse.</w:t>
            </w:r>
          </w:p>
        </w:tc>
        <w:tc>
          <w:tcPr>
            <w:tcW w:w="3065"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4/5 - </w:t>
            </w:r>
            <w:r>
              <w:rPr>
                <w:sz w:val="20"/>
              </w:rPr>
              <w:t>Viable si se limita a un prototipo, un contexto específico (el sistema de pensiones o posiblemente el sistema de becas educativas del Perú), una evaluación basada en escenarios y 3–4 métricas clave.</w:t>
            </w:r>
          </w:p>
        </w:tc>
      </w:tr>
      <w:tr w:rsidR="00F930B0">
        <w:trPr>
          <w:trHeight w:val="1050"/>
        </w:trPr>
        <w:tc>
          <w:tcPr>
            <w:tcW w:w="2537" w:type="dxa"/>
            <w:shd w:val="clear" w:color="auto" w:fill="D9EAF7"/>
            <w:vAlign w:val="center"/>
          </w:tcPr>
          <w:p w:rsidR="00F930B0" w:rsidRDefault="00D258C6">
            <w:pPr>
              <w:pStyle w:val="TableParagraph"/>
              <w:spacing w:before="30" w:after="30" w:line="248" w:lineRule="auto"/>
              <w:ind w:left="90" w:right="90"/>
              <w:rPr>
                <w:sz w:val="20"/>
              </w:rPr>
            </w:pPr>
            <w:r>
              <w:rPr>
                <w:b/>
                <w:sz w:val="20"/>
              </w:rPr>
              <w:t>C: Contribución (20%)</w:t>
            </w:r>
          </w:p>
        </w:tc>
        <w:tc>
          <w:tcPr>
            <w:tcW w:w="2693" w:type="dxa"/>
            <w:shd w:val="clear" w:color="auto" w:fill="FBE8E6"/>
            <w:vAlign w:val="center"/>
          </w:tcPr>
          <w:p w:rsidR="00F930B0" w:rsidRDefault="00D258C6">
            <w:pPr>
              <w:pStyle w:val="TableParagraph"/>
              <w:spacing w:before="30" w:after="30" w:line="248" w:lineRule="auto"/>
              <w:ind w:left="90" w:right="90"/>
              <w:rPr>
                <w:sz w:val="20"/>
              </w:rPr>
            </w:pPr>
            <w:r>
              <w:rPr>
                <w:b/>
                <w:sz w:val="20"/>
              </w:rPr>
              <w:t xml:space="preserve">2/5 - </w:t>
            </w:r>
            <w:r>
              <w:rPr>
                <w:sz w:val="20"/>
              </w:rPr>
              <w:t>Produce evidencia de efectos sobre variables aisladas, no el artefacto de arquitectura de referencia ni conocimiento de diseño transferible.</w:t>
            </w:r>
          </w:p>
        </w:tc>
        <w:tc>
          <w:tcPr>
            <w:tcW w:w="2837" w:type="dxa"/>
            <w:shd w:val="clear" w:color="auto" w:fill="FBE8E6"/>
            <w:vAlign w:val="center"/>
          </w:tcPr>
          <w:p w:rsidR="00F930B0" w:rsidRDefault="00D258C6">
            <w:pPr>
              <w:pStyle w:val="TableParagraph"/>
              <w:spacing w:before="30" w:after="30" w:line="248" w:lineRule="auto"/>
              <w:ind w:left="90" w:right="90"/>
              <w:rPr>
                <w:sz w:val="20"/>
              </w:rPr>
            </w:pPr>
            <w:r>
              <w:rPr>
                <w:b/>
                <w:sz w:val="20"/>
              </w:rPr>
              <w:t xml:space="preserve">2/5 - </w:t>
            </w:r>
            <w:r>
              <w:rPr>
                <w:sz w:val="20"/>
              </w:rPr>
              <w:t>Explica el comportamiento bajo condiciones modeladas, pero no entrega el artefacto gobernado ni principios de diseño aplicables al mundo real.</w:t>
            </w:r>
          </w:p>
        </w:tc>
        <w:tc>
          <w:tcPr>
            <w:tcW w:w="2976"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4/5 - </w:t>
            </w:r>
            <w:r>
              <w:rPr>
                <w:sz w:val="20"/>
              </w:rPr>
              <w:t>Produce evidencia integrada, pero el conocimiento de artefacto/diseño no es central.</w:t>
            </w:r>
          </w:p>
        </w:tc>
        <w:tc>
          <w:tcPr>
            <w:tcW w:w="3065"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5/5 - </w:t>
            </w:r>
            <w:r>
              <w:rPr>
                <w:sz w:val="20"/>
              </w:rPr>
              <w:t>Entrega el artefacto (arquitectura de referencia) + evaluación rigurosa + principios de diseño transferibles (principio de conformidad; separación de generación/verificación).</w:t>
            </w:r>
          </w:p>
        </w:tc>
      </w:tr>
      <w:tr w:rsidR="00F930B0">
        <w:trPr>
          <w:trHeight w:val="1050"/>
        </w:trPr>
        <w:tc>
          <w:tcPr>
            <w:tcW w:w="2537" w:type="dxa"/>
            <w:shd w:val="clear" w:color="auto" w:fill="D9EAF7"/>
            <w:vAlign w:val="center"/>
          </w:tcPr>
          <w:p w:rsidR="00F930B0" w:rsidRDefault="00D258C6">
            <w:pPr>
              <w:pStyle w:val="TableParagraph"/>
              <w:spacing w:before="30" w:after="30" w:line="248" w:lineRule="auto"/>
              <w:ind w:left="90" w:right="90"/>
              <w:rPr>
                <w:sz w:val="20"/>
              </w:rPr>
            </w:pPr>
            <w:r>
              <w:rPr>
                <w:b/>
                <w:sz w:val="20"/>
              </w:rPr>
              <w:t>V: Ajuste de medio de publicación (15%)</w:t>
            </w:r>
          </w:p>
        </w:tc>
        <w:tc>
          <w:tcPr>
            <w:tcW w:w="2693"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 </w:t>
            </w:r>
            <w:r>
              <w:rPr>
                <w:sz w:val="20"/>
              </w:rPr>
              <w:t>Publicable en medios de ingeniería de software empírica / de evaluación si el diseño causal es defendible, pero la contribución de diseño es el objetivo previsto.</w:t>
            </w:r>
          </w:p>
        </w:tc>
        <w:tc>
          <w:tcPr>
            <w:tcW w:w="2837"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 </w:t>
            </w:r>
            <w:r>
              <w:rPr>
                <w:sz w:val="20"/>
              </w:rPr>
              <w:t>Posible en medios de modelado / confiabilidad (dependability); menor correspondencia con la contribución de diseño y gobernanza.</w:t>
            </w:r>
          </w:p>
        </w:tc>
        <w:tc>
          <w:tcPr>
            <w:tcW w:w="2976"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4/5 - </w:t>
            </w:r>
            <w:r>
              <w:rPr>
                <w:sz w:val="20"/>
              </w:rPr>
              <w:t>Bien aceptado en medios de ingeniería de software empírica y de sistemas de información, pero con mayor carga de estudio.</w:t>
            </w:r>
          </w:p>
        </w:tc>
        <w:tc>
          <w:tcPr>
            <w:tcW w:w="3065"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5/5 - </w:t>
            </w:r>
            <w:r>
              <w:rPr>
                <w:sz w:val="20"/>
              </w:rPr>
              <w:t>Fuerte ajuste con ECSA, IEEE Software, Journal of Systems and Software y Government Information Quarterly (enfoque de sector público).</w:t>
            </w:r>
          </w:p>
        </w:tc>
      </w:tr>
      <w:tr w:rsidR="00F930B0">
        <w:trPr>
          <w:trHeight w:val="560"/>
        </w:trPr>
        <w:tc>
          <w:tcPr>
            <w:tcW w:w="2537" w:type="dxa"/>
            <w:shd w:val="clear" w:color="auto" w:fill="17365D"/>
            <w:vAlign w:val="center"/>
          </w:tcPr>
          <w:p w:rsidR="00F930B0" w:rsidRDefault="00D258C6">
            <w:pPr>
              <w:pStyle w:val="TableParagraph"/>
              <w:spacing w:before="30" w:after="30" w:line="248" w:lineRule="auto"/>
              <w:ind w:left="120" w:right="90"/>
              <w:rPr>
                <w:sz w:val="20"/>
              </w:rPr>
            </w:pPr>
            <w:r>
              <w:rPr>
                <w:b/>
                <w:color w:val="FFFFFF"/>
                <w:sz w:val="20"/>
              </w:rPr>
              <w:t xml:space="preserve">Total ponderado  (E×.30 + D×.20 + F×.15 + C×.20 + </w:t>
            </w:r>
            <w:r>
              <w:rPr>
                <w:b/>
                <w:color w:val="FFFFFF"/>
                <w:sz w:val="20"/>
              </w:rPr>
              <w:lastRenderedPageBreak/>
              <w:t>V×.15)</w:t>
            </w:r>
          </w:p>
        </w:tc>
        <w:tc>
          <w:tcPr>
            <w:tcW w:w="2693" w:type="dxa"/>
            <w:shd w:val="clear" w:color="auto" w:fill="F1F4F7"/>
            <w:vAlign w:val="center"/>
          </w:tcPr>
          <w:p w:rsidR="00F930B0" w:rsidRDefault="00D258C6">
            <w:pPr>
              <w:pStyle w:val="TableParagraph"/>
              <w:spacing w:before="30" w:after="30" w:line="248" w:lineRule="auto"/>
              <w:ind w:left="90" w:right="90"/>
              <w:jc w:val="center"/>
              <w:rPr>
                <w:sz w:val="20"/>
              </w:rPr>
            </w:pPr>
            <w:r>
              <w:rPr>
                <w:b/>
                <w:sz w:val="20"/>
              </w:rPr>
              <w:lastRenderedPageBreak/>
              <w:t>2.45/5 (49/100)</w:t>
            </w:r>
          </w:p>
        </w:tc>
        <w:tc>
          <w:tcPr>
            <w:tcW w:w="2837" w:type="dxa"/>
            <w:shd w:val="clear" w:color="auto" w:fill="F1F4F7"/>
            <w:vAlign w:val="center"/>
          </w:tcPr>
          <w:p w:rsidR="00F930B0" w:rsidRDefault="00D258C6">
            <w:pPr>
              <w:pStyle w:val="TableParagraph"/>
              <w:spacing w:before="30" w:after="30" w:line="248" w:lineRule="auto"/>
              <w:ind w:left="90" w:right="90"/>
              <w:jc w:val="center"/>
              <w:rPr>
                <w:sz w:val="20"/>
              </w:rPr>
            </w:pPr>
            <w:r>
              <w:rPr>
                <w:b/>
                <w:sz w:val="20"/>
              </w:rPr>
              <w:t>2.50/5 (50/100)</w:t>
            </w:r>
          </w:p>
        </w:tc>
        <w:tc>
          <w:tcPr>
            <w:tcW w:w="2976" w:type="dxa"/>
            <w:shd w:val="clear" w:color="auto" w:fill="FFF3DF"/>
            <w:vAlign w:val="center"/>
          </w:tcPr>
          <w:p w:rsidR="00F930B0" w:rsidRDefault="00D258C6">
            <w:pPr>
              <w:pStyle w:val="TableParagraph"/>
              <w:spacing w:before="30" w:after="30" w:line="248" w:lineRule="auto"/>
              <w:ind w:left="90" w:right="90"/>
              <w:jc w:val="center"/>
              <w:rPr>
                <w:sz w:val="20"/>
              </w:rPr>
            </w:pPr>
            <w:r>
              <w:rPr>
                <w:b/>
                <w:sz w:val="20"/>
              </w:rPr>
              <w:t>3.65/5 (73/100)</w:t>
            </w:r>
          </w:p>
        </w:tc>
        <w:tc>
          <w:tcPr>
            <w:tcW w:w="3065" w:type="dxa"/>
            <w:shd w:val="clear" w:color="auto" w:fill="E6F4EA"/>
            <w:vAlign w:val="center"/>
          </w:tcPr>
          <w:p w:rsidR="00F930B0" w:rsidRDefault="00D258C6">
            <w:pPr>
              <w:pStyle w:val="TableParagraph"/>
              <w:spacing w:before="30" w:after="30" w:line="248" w:lineRule="auto"/>
              <w:ind w:left="90" w:right="90"/>
              <w:jc w:val="center"/>
              <w:rPr>
                <w:sz w:val="20"/>
              </w:rPr>
            </w:pPr>
            <w:r>
              <w:rPr>
                <w:b/>
                <w:sz w:val="20"/>
              </w:rPr>
              <w:t>4.65/5 (93/100)</w:t>
            </w:r>
          </w:p>
        </w:tc>
      </w:tr>
      <w:tr w:rsidR="00F930B0">
        <w:trPr>
          <w:trHeight w:val="1500"/>
        </w:trPr>
        <w:tc>
          <w:tcPr>
            <w:tcW w:w="14108" w:type="dxa"/>
            <w:gridSpan w:val="5"/>
            <w:shd w:val="clear" w:color="auto" w:fill="EAF1F8"/>
          </w:tcPr>
          <w:p w:rsidR="00F930B0" w:rsidRDefault="00D258C6">
            <w:pPr>
              <w:pStyle w:val="TableParagraph"/>
              <w:spacing w:before="60" w:after="60" w:line="264" w:lineRule="auto"/>
              <w:ind w:left="110" w:right="150"/>
              <w:jc w:val="both"/>
              <w:rPr>
                <w:sz w:val="20"/>
              </w:rPr>
            </w:pPr>
            <w:r>
              <w:rPr>
                <w:b/>
                <w:sz w:val="20"/>
              </w:rPr>
              <w:t xml:space="preserve">Decisión: </w:t>
            </w:r>
            <w:r>
              <w:rPr>
                <w:sz w:val="20"/>
              </w:rPr>
              <w:t xml:space="preserve">Se selecciona la Investigación en Ciencias del Diseño (DSR) como método primario. El Experimento puro y la Simulación se eliminan por la regla de compuerta ≤2 en un criterio crítico (Contribución en ambos casos; y también Ajuste epistemológico en la Simulación), porque ninguno puede producir ni gobernar el artefacto de arquitectura de referencia que constituye la contribución prevista. Los Métodos mixtos siguen siendo una estrategia de evaluación viable integrada dentro de la DSR </w:t>
            </w:r>
            <w:r w:rsidR="00B86BCF">
              <w:rPr>
                <w:sz w:val="20"/>
              </w:rPr>
              <w:t>-</w:t>
            </w:r>
            <w:r>
              <w:rPr>
                <w:sz w:val="20"/>
              </w:rPr>
              <w:t xml:space="preserve">no el </w:t>
            </w:r>
            <w:proofErr w:type="spellStart"/>
            <w:r>
              <w:rPr>
                <w:sz w:val="20"/>
              </w:rPr>
              <w:t>método</w:t>
            </w:r>
            <w:proofErr w:type="spellEnd"/>
            <w:r>
              <w:rPr>
                <w:sz w:val="20"/>
              </w:rPr>
              <w:t xml:space="preserve"> rector</w:t>
            </w:r>
            <w:r w:rsidR="00B86BCF">
              <w:rPr>
                <w:sz w:val="20"/>
              </w:rPr>
              <w:t>-</w:t>
            </w:r>
            <w:r>
              <w:rPr>
                <w:sz w:val="20"/>
              </w:rPr>
              <w:t>, en coherencia con la justificación del paradigma. Para mantenerse viable en tres años, el estudio de DSR se restringe a un prototipo funcional (el pipeline de agentes de generación/verificación con una capa de conformidad), un contexto de aplicación (el sistema de pensiones del Perú o posiblemente el sistema de becas educativas del Perú), una evaluación de arquitectura basada en escenarios con participación de expertos y 3–4 métricas primarias de resultado. Un experimento puro puede integrarse dentro del ciclo de evaluación de la DSR como una comparación controlada del pipeline de dos agentes frente a una línea base de un solo agente, y la simulación puede emplearse para pruebas de estrés previas al despliegue de escenarios de inyección de defectos y de fallas correlacionadas entre generador y verificador. Leyenda de colores: rojo = ajuste débil (≤2); ámbar = ajuste moderado (3); verde = ajuste fuerte (≥4); azul = filas estructurales.</w:t>
            </w:r>
          </w:p>
        </w:tc>
      </w:tr>
    </w:tbl>
    <w:p w:rsidR="00F930B0" w:rsidRDefault="00D258C6">
      <w:pPr>
        <w:pStyle w:val="Textoindependiente"/>
        <w:spacing w:before="120" w:line="276" w:lineRule="auto"/>
        <w:ind w:left="153" w:right="200"/>
        <w:jc w:val="both"/>
      </w:pPr>
      <w:r>
        <w:rPr>
          <w:b/>
        </w:rPr>
        <w:t xml:space="preserve">Regla de compuerta: </w:t>
      </w:r>
      <w:r>
        <w:t>cualquier candidato que obtenga ≤2 en un criterio crítico (Ajuste epistemológico o Contribución) queda descartado. La Simulación no se preselecciona como método primario porque la afirmación central se refiere a la utilidad en el mundo real y a la conformidad gobernada en un sistema público regulado; aun así, puede usarse para pruebas de estrés previas al despliegue de escenarios de falla (p. ej., inyectando defectos y errores correlacionados entre generador y verificador).</w:t>
      </w:r>
    </w:p>
    <w:p w:rsidR="00F930B0" w:rsidRDefault="00D258C6">
      <w:pPr>
        <w:pStyle w:val="Textoindependiente"/>
        <w:spacing w:before="120" w:line="276" w:lineRule="auto"/>
        <w:ind w:left="153" w:right="200"/>
        <w:jc w:val="both"/>
      </w:pPr>
      <w:r>
        <w:rPr>
          <w:b/>
        </w:rPr>
        <w:t xml:space="preserve">Fuentes de datos para el plan de DSR seleccionado: </w:t>
      </w:r>
      <w:r>
        <w:t>registros (logs) de interacción y de compilación del prototipo; violaciones de conformidad detectadas automáticamente (precisión/exhaustividad) frente a las reglas de arquitectura empresarial y regulatorias; tasa de escape de defectos, esfuerzo de retrabajo y tiempo de entrega (lead time); la línea base de un solo agente (sin verificación independiente); documentación de arquitectura empresarial, repositorios de código y artefactos de desarrollo del caso de aplicación; y retroalimentación focalizada de expertos en arquitectura y del dominio. Requisitos previos: alineación con la Ley N.° 29733 (Protección de Datos Personales), la Ley N.° 31814 y la NTP-ISO/IEC 42001:2025; restricción del artefacto al desarrollo y la verificación (no a la ejecución en producción); minimización de datos, sin datos personales de pensiones identificables; y procesamiento local / en el dispositivo (on-device) con acceso limitado al código y los datos estrictamente necesarios.</w:t>
      </w:r>
    </w:p>
    <w:p w:rsidR="00C05BCF" w:rsidRDefault="00A779E9">
      <w:pPr>
        <w:spacing w:before="142"/>
        <w:ind w:right="977"/>
        <w:jc w:val="right"/>
        <w:rPr>
          <w:rFonts w:ascii="Trebuchet MS"/>
          <w:sz w:val="21"/>
        </w:rPr>
      </w:pPr>
      <w:r>
        <w:rPr>
          <w:rFonts w:ascii="Trebuchet MS"/>
          <w:color w:val="1F2937"/>
          <w:spacing w:val="-10"/>
          <w:sz w:val="21"/>
        </w:rPr>
        <w:t>2</w:t>
      </w:r>
    </w:p>
    <w:sectPr w:rsidR="00C05BCF">
      <w:pgSz w:w="15840" w:h="12240" w:orient="landscape"/>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BCF"/>
    <w:rsid w:val="00404680"/>
    <w:rsid w:val="004F6B90"/>
    <w:rsid w:val="0054731C"/>
    <w:rsid w:val="0069446F"/>
    <w:rsid w:val="007E02AB"/>
    <w:rsid w:val="0090442D"/>
    <w:rsid w:val="009155D8"/>
    <w:rsid w:val="009B45AB"/>
    <w:rsid w:val="00A779E9"/>
    <w:rsid w:val="00B86BCF"/>
    <w:rsid w:val="00C05BCF"/>
    <w:rsid w:val="00C13111"/>
    <w:rsid w:val="00CC2E82"/>
    <w:rsid w:val="00CF7457"/>
    <w:rsid w:val="00D258C6"/>
    <w:rsid w:val="00F930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7225C1-23F5-444F-BEC6-3F204B068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Ttulo1">
    <w:name w:val="heading 1"/>
    <w:basedOn w:val="Normal"/>
    <w:uiPriority w:val="9"/>
    <w:qFormat/>
    <w:pPr>
      <w:spacing w:before="316"/>
      <w:ind w:right="2"/>
      <w:jc w:val="center"/>
      <w:outlineLvl w:val="0"/>
    </w:pPr>
    <w:rPr>
      <w:b/>
      <w:bCs/>
      <w:sz w:val="48"/>
      <w:szCs w:val="48"/>
    </w:rPr>
  </w:style>
  <w:style w:type="paragraph" w:styleId="Ttulo2">
    <w:name w:val="heading 2"/>
    <w:basedOn w:val="Normal"/>
    <w:uiPriority w:val="9"/>
    <w:unhideWhenUsed/>
    <w:qFormat/>
    <w:pPr>
      <w:ind w:left="2" w:right="2"/>
      <w:jc w:val="center"/>
      <w:outlineLvl w:val="1"/>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46"/>
      <w:ind w:left="6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1091</Words>
  <Characters>6001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Install MS Office 2019 Std 64 bits</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Felix Mendoza</cp:lastModifiedBy>
  <cp:revision>2</cp:revision>
  <dcterms:created xsi:type="dcterms:W3CDTF">2026-09-18T23:58:00Z</dcterms:created>
  <dcterms:modified xsi:type="dcterms:W3CDTF">2026-09-18T23:58:00Z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Creator">
    <vt:lpwstr>Microsoft® Word 2019</vt:lpwstr>
  </property>
  <property fmtid="{D5CDD505-2E9C-101B-9397-08002B2CF9AE}" pid="5" name="LastSaved">
    <vt:filetime>2026-09-18T00:00:00Z</vt:filetime>
  </property>
  <property fmtid="{D5CDD505-2E9C-101B-9397-08002B2CF9AE}" pid="6" name="Producer">
    <vt:lpwstr>Microsoft® Word 2019</vt:lpwstr>
  </property>
</Properties>
</file>