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D7F" w:rsidRPr="00543D7F" w:rsidRDefault="00543D7F" w:rsidP="00543D7F">
      <w:pPr>
        <w:spacing w:after="200"/>
        <w:jc w:val="center"/>
        <w:rPr>
          <w:rFonts w:ascii="Times New Roman" w:hAnsi="Times New Roman" w:cs="Times New Roman"/>
        </w:rPr>
      </w:pPr>
    </w:p>
    <w:p w:rsidR="00543D7F" w:rsidRPr="00543D7F" w:rsidRDefault="00543D7F" w:rsidP="00543D7F">
      <w:pPr>
        <w:spacing w:before="57" w:line="360" w:lineRule="auto"/>
        <w:ind w:left="307" w:right="308"/>
        <w:jc w:val="center"/>
        <w:rPr>
          <w:rFonts w:ascii="Times New Roman" w:hAnsi="Times New Roman" w:cs="Times New Roman"/>
          <w:b/>
          <w:sz w:val="40"/>
        </w:rPr>
      </w:pPr>
      <w:r>
        <w:rPr>
          <w:rFonts w:ascii="Times New Roman" w:hAnsi="Times New Roman" w:cs="Times New Roman"/>
          <w:b/>
          <w:noProof/>
          <w:sz w:val="40"/>
          <w:lang w:val="en-US" w:eastAsia="en-US"/>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Pr>
          <w:rFonts w:ascii="Times New Roman" w:hAnsi="Times New Roman" w:cs="Times New Roman"/>
          <w:b/>
          <w:sz w:val="40"/>
        </w:rPr>
        <w:t>UNIVERSIDAD</w:t>
      </w:r>
      <w:r>
        <w:rPr>
          <w:rFonts w:ascii="Times New Roman" w:hAnsi="Times New Roman" w:cs="Times New Roman"/>
          <w:b/>
          <w:spacing w:val="-10"/>
          <w:sz w:val="40"/>
        </w:rPr>
        <w:t xml:space="preserve"> </w:t>
      </w:r>
      <w:r>
        <w:rPr>
          <w:rFonts w:ascii="Times New Roman" w:hAnsi="Times New Roman" w:cs="Times New Roman"/>
          <w:b/>
          <w:sz w:val="40"/>
        </w:rPr>
        <w:t>NACIONAL</w:t>
      </w:r>
      <w:r>
        <w:rPr>
          <w:rFonts w:ascii="Times New Roman" w:hAnsi="Times New Roman" w:cs="Times New Roman"/>
          <w:b/>
          <w:spacing w:val="-10"/>
          <w:sz w:val="40"/>
        </w:rPr>
        <w:t xml:space="preserve"> </w:t>
      </w:r>
      <w:r>
        <w:rPr>
          <w:rFonts w:ascii="Times New Roman" w:hAnsi="Times New Roman" w:cs="Times New Roman"/>
          <w:b/>
          <w:sz w:val="40"/>
        </w:rPr>
        <w:t>MAYOR</w:t>
      </w:r>
      <w:r>
        <w:rPr>
          <w:rFonts w:ascii="Times New Roman" w:hAnsi="Times New Roman" w:cs="Times New Roman"/>
          <w:b/>
          <w:spacing w:val="-12"/>
          <w:sz w:val="40"/>
        </w:rPr>
        <w:t xml:space="preserve"> </w:t>
      </w:r>
      <w:r>
        <w:rPr>
          <w:rFonts w:ascii="Times New Roman" w:hAnsi="Times New Roman" w:cs="Times New Roman"/>
          <w:b/>
          <w:sz w:val="40"/>
        </w:rPr>
        <w:t>DE</w:t>
      </w:r>
      <w:r>
        <w:rPr>
          <w:rFonts w:ascii="Times New Roman" w:hAnsi="Times New Roman" w:cs="Times New Roman"/>
          <w:b/>
          <w:spacing w:val="-10"/>
          <w:sz w:val="40"/>
        </w:rPr>
        <w:t xml:space="preserve"> </w:t>
      </w:r>
      <w:r>
        <w:rPr>
          <w:rFonts w:ascii="Times New Roman" w:hAnsi="Times New Roman" w:cs="Times New Roman"/>
          <w:b/>
          <w:sz w:val="40"/>
        </w:rPr>
        <w:t xml:space="preserve">SAN </w:t>
      </w:r>
      <w:r>
        <w:rPr>
          <w:rFonts w:ascii="Times New Roman" w:hAnsi="Times New Roman" w:cs="Times New Roman"/>
          <w:b/>
          <w:spacing w:val="-2"/>
          <w:sz w:val="40"/>
        </w:rPr>
        <w:t>MARCOS</w:t>
      </w:r>
    </w:p>
    <w:p w:rsidR="00543D7F" w:rsidRPr="001A30C5" w:rsidRDefault="00543D7F" w:rsidP="00543D7F">
      <w:pPr>
        <w:pStyle w:val="Ttulo1"/>
        <w:spacing w:line="360" w:lineRule="auto"/>
        <w:jc w:val="center"/>
        <w:rPr>
          <w:rFonts w:ascii="Times New Roman" w:hAnsi="Times New Roman" w:cs="Times New Roman"/>
          <w:color w:val="auto"/>
          <w:lang w:val="en-US"/>
        </w:rPr>
      </w:pPr>
      <w:r>
        <w:rPr>
          <w:rFonts w:ascii="Times New Roman" w:hAnsi="Times New Roman" w:cs="Times New Roman"/>
          <w:color w:val="auto"/>
          <w:lang w:val="en-US"/>
        </w:rPr>
        <w:t>Doctoral</w:t>
      </w:r>
      <w:r>
        <w:rPr>
          <w:rFonts w:ascii="Times New Roman" w:hAnsi="Times New Roman" w:cs="Times New Roman"/>
          <w:color w:val="auto"/>
          <w:spacing w:val="-7"/>
          <w:lang w:val="en-US"/>
        </w:rPr>
        <w:t xml:space="preserve"> </w:t>
      </w:r>
      <w:r>
        <w:rPr>
          <w:rFonts w:ascii="Times New Roman" w:hAnsi="Times New Roman" w:cs="Times New Roman"/>
          <w:color w:val="auto"/>
          <w:lang w:val="en-US"/>
        </w:rPr>
        <w:t>Program</w:t>
      </w:r>
      <w:r>
        <w:rPr>
          <w:rFonts w:ascii="Times New Roman" w:hAnsi="Times New Roman" w:cs="Times New Roman"/>
          <w:color w:val="auto"/>
          <w:spacing w:val="-8"/>
          <w:lang w:val="en-US"/>
        </w:rPr>
        <w:t xml:space="preserve"> </w:t>
      </w:r>
      <w:r>
        <w:rPr>
          <w:rFonts w:ascii="Times New Roman" w:hAnsi="Times New Roman" w:cs="Times New Roman"/>
          <w:color w:val="auto"/>
          <w:lang w:val="en-US"/>
        </w:rPr>
        <w:t>in</w:t>
      </w:r>
      <w:r>
        <w:rPr>
          <w:rFonts w:ascii="Times New Roman" w:hAnsi="Times New Roman" w:cs="Times New Roman"/>
          <w:color w:val="auto"/>
          <w:spacing w:val="-9"/>
          <w:lang w:val="en-US"/>
        </w:rPr>
        <w:t xml:space="preserve"> </w:t>
      </w:r>
      <w:r>
        <w:rPr>
          <w:rFonts w:ascii="Times New Roman" w:hAnsi="Times New Roman" w:cs="Times New Roman"/>
          <w:color w:val="auto"/>
          <w:lang w:val="en-US"/>
        </w:rPr>
        <w:t>Deep</w:t>
      </w:r>
      <w:r>
        <w:rPr>
          <w:rFonts w:ascii="Times New Roman" w:hAnsi="Times New Roman" w:cs="Times New Roman"/>
          <w:color w:val="auto"/>
          <w:spacing w:val="-9"/>
          <w:lang w:val="en-US"/>
        </w:rPr>
        <w:t xml:space="preserve"> </w:t>
      </w:r>
      <w:r>
        <w:rPr>
          <w:rFonts w:ascii="Times New Roman" w:hAnsi="Times New Roman" w:cs="Times New Roman"/>
          <w:color w:val="auto"/>
          <w:lang w:val="en-US"/>
        </w:rPr>
        <w:t>Tech,</w:t>
      </w:r>
      <w:r>
        <w:rPr>
          <w:rFonts w:ascii="Times New Roman" w:hAnsi="Times New Roman" w:cs="Times New Roman"/>
          <w:color w:val="auto"/>
          <w:spacing w:val="-8"/>
          <w:lang w:val="en-US"/>
        </w:rPr>
        <w:t xml:space="preserve"> </w:t>
      </w:r>
      <w:r>
        <w:rPr>
          <w:rFonts w:ascii="Times New Roman" w:hAnsi="Times New Roman" w:cs="Times New Roman"/>
          <w:color w:val="auto"/>
          <w:lang w:val="en-US"/>
        </w:rPr>
        <w:t>Artificial Intelligence &amp; Emerging Technologies</w:t>
      </w:r>
    </w:p>
    <w:p w:rsidR="00543D7F" w:rsidRPr="00543D7F" w:rsidRDefault="00543D7F" w:rsidP="00543D7F">
      <w:pPr>
        <w:pStyle w:val="Textoindependiente"/>
        <w:spacing w:before="104"/>
        <w:jc w:val="center"/>
        <w:rPr>
          <w:b/>
          <w:sz w:val="48"/>
        </w:rPr>
      </w:pPr>
    </w:p>
    <w:p w:rsidR="00543D7F" w:rsidRPr="001A30C5" w:rsidRDefault="00543D7F" w:rsidP="00543D7F">
      <w:pPr>
        <w:spacing w:line="360" w:lineRule="auto"/>
        <w:ind w:left="307" w:right="308"/>
        <w:jc w:val="center"/>
        <w:rPr>
          <w:rFonts w:ascii="Times New Roman" w:hAnsi="Times New Roman" w:cs="Times New Roman"/>
          <w:b/>
          <w:sz w:val="40"/>
          <w:lang w:val="en-US"/>
        </w:rPr>
      </w:pPr>
      <w:r>
        <w:rPr>
          <w:rFonts w:ascii="Times New Roman" w:hAnsi="Times New Roman" w:cs="Times New Roman"/>
          <w:b/>
          <w:sz w:val="40"/>
          <w:lang w:val="en-US"/>
        </w:rPr>
        <w:t>Research</w:t>
      </w:r>
      <w:r>
        <w:rPr>
          <w:rFonts w:ascii="Times New Roman" w:hAnsi="Times New Roman" w:cs="Times New Roman"/>
          <w:b/>
          <w:spacing w:val="-7"/>
          <w:sz w:val="40"/>
          <w:lang w:val="en-US"/>
        </w:rPr>
        <w:t xml:space="preserve"> </w:t>
      </w:r>
      <w:r>
        <w:rPr>
          <w:rFonts w:ascii="Times New Roman" w:hAnsi="Times New Roman" w:cs="Times New Roman"/>
          <w:b/>
          <w:sz w:val="40"/>
          <w:lang w:val="en-US"/>
        </w:rPr>
        <w:t>Methods</w:t>
      </w:r>
      <w:r>
        <w:rPr>
          <w:rFonts w:ascii="Times New Roman" w:hAnsi="Times New Roman" w:cs="Times New Roman"/>
          <w:b/>
          <w:spacing w:val="-7"/>
          <w:sz w:val="40"/>
          <w:lang w:val="en-US"/>
        </w:rPr>
        <w:t xml:space="preserve"> </w:t>
      </w:r>
      <w:r>
        <w:rPr>
          <w:rFonts w:ascii="Times New Roman" w:hAnsi="Times New Roman" w:cs="Times New Roman"/>
          <w:b/>
          <w:sz w:val="40"/>
          <w:lang w:val="en-US"/>
        </w:rPr>
        <w:t>and</w:t>
      </w:r>
      <w:r>
        <w:rPr>
          <w:rFonts w:ascii="Times New Roman" w:hAnsi="Times New Roman" w:cs="Times New Roman"/>
          <w:b/>
          <w:spacing w:val="-7"/>
          <w:sz w:val="40"/>
          <w:lang w:val="en-US"/>
        </w:rPr>
        <w:t xml:space="preserve"> </w:t>
      </w:r>
      <w:r>
        <w:rPr>
          <w:rFonts w:ascii="Times New Roman" w:hAnsi="Times New Roman" w:cs="Times New Roman"/>
          <w:b/>
          <w:sz w:val="40"/>
          <w:lang w:val="en-US"/>
        </w:rPr>
        <w:t>Scientific</w:t>
      </w:r>
      <w:r>
        <w:rPr>
          <w:rFonts w:ascii="Times New Roman" w:hAnsi="Times New Roman" w:cs="Times New Roman"/>
          <w:b/>
          <w:spacing w:val="-7"/>
          <w:sz w:val="40"/>
          <w:lang w:val="en-US"/>
        </w:rPr>
        <w:t xml:space="preserve"> </w:t>
      </w:r>
      <w:r>
        <w:rPr>
          <w:rFonts w:ascii="Times New Roman" w:hAnsi="Times New Roman" w:cs="Times New Roman"/>
          <w:b/>
          <w:sz w:val="40"/>
          <w:lang w:val="en-US"/>
        </w:rPr>
        <w:t>Integrity</w:t>
      </w:r>
      <w:r>
        <w:rPr>
          <w:rFonts w:ascii="Times New Roman" w:hAnsi="Times New Roman" w:cs="Times New Roman"/>
          <w:b/>
          <w:spacing w:val="-5"/>
          <w:sz w:val="40"/>
          <w:lang w:val="en-US"/>
        </w:rPr>
        <w:t xml:space="preserve"> </w:t>
      </w:r>
      <w:r>
        <w:rPr>
          <w:rFonts w:ascii="Times New Roman" w:hAnsi="Times New Roman" w:cs="Times New Roman"/>
          <w:b/>
          <w:sz w:val="40"/>
          <w:lang w:val="en-US"/>
        </w:rPr>
        <w:t>in</w:t>
      </w:r>
      <w:r>
        <w:rPr>
          <w:rFonts w:ascii="Times New Roman" w:hAnsi="Times New Roman" w:cs="Times New Roman"/>
          <w:b/>
          <w:spacing w:val="-5"/>
          <w:sz w:val="40"/>
          <w:lang w:val="en-US"/>
        </w:rPr>
        <w:t xml:space="preserve"> </w:t>
      </w:r>
      <w:r>
        <w:rPr>
          <w:rFonts w:ascii="Times New Roman" w:hAnsi="Times New Roman" w:cs="Times New Roman"/>
          <w:b/>
          <w:sz w:val="40"/>
          <w:lang w:val="en-US"/>
        </w:rPr>
        <w:t>AI and Advanced Technologies</w:t>
      </w:r>
    </w:p>
    <w:p w:rsidR="00543D7F" w:rsidRPr="001A30C5" w:rsidRDefault="002C130B" w:rsidP="00543D7F">
      <w:pPr>
        <w:spacing w:before="381" w:line="391" w:lineRule="auto"/>
        <w:ind w:right="4"/>
        <w:jc w:val="center"/>
        <w:rPr>
          <w:rFonts w:ascii="Times New Roman" w:hAnsi="Times New Roman" w:cs="Times New Roman"/>
          <w:b/>
          <w:sz w:val="27"/>
          <w:lang w:val="en-US"/>
        </w:rPr>
      </w:pPr>
      <w:r>
        <w:rPr>
          <w:rFonts w:ascii="Times New Roman" w:hAnsi="Times New Roman" w:cs="Times New Roman"/>
          <w:b/>
          <w:sz w:val="27"/>
          <w:lang w:val="en-US"/>
        </w:rPr>
        <w:t>DELIVERABLE No. 6: Reproducibility Audit of a Published Paper</w:t>
      </w:r>
    </w:p>
    <w:p w:rsidR="00543D7F" w:rsidRPr="00543D7F" w:rsidRDefault="00543D7F" w:rsidP="00543D7F">
      <w:pPr>
        <w:pStyle w:val="Textoindependiente"/>
        <w:jc w:val="center"/>
        <w:rPr>
          <w:b/>
          <w:sz w:val="27"/>
        </w:rPr>
      </w:pPr>
    </w:p>
    <w:p w:rsidR="00543D7F" w:rsidRPr="00543D7F" w:rsidRDefault="00543D7F" w:rsidP="00543D7F">
      <w:pPr>
        <w:pStyle w:val="Textoindependiente"/>
        <w:spacing w:before="131"/>
        <w:jc w:val="center"/>
        <w:rPr>
          <w:b/>
          <w:sz w:val="27"/>
        </w:rPr>
      </w:pPr>
    </w:p>
    <w:p w:rsidR="00543D7F" w:rsidRPr="001A30C5" w:rsidRDefault="00543D7F" w:rsidP="00543D7F">
      <w:pPr>
        <w:tabs>
          <w:tab w:val="left" w:pos="3204"/>
        </w:tabs>
        <w:ind w:left="530"/>
        <w:jc w:val="center"/>
        <w:rPr>
          <w:rFonts w:ascii="Times New Roman" w:hAnsi="Times New Roman" w:cs="Times New Roman"/>
          <w:b/>
          <w:sz w:val="27"/>
          <w:lang w:val="en-US"/>
        </w:rPr>
      </w:pPr>
      <w:r>
        <w:rPr>
          <w:rFonts w:ascii="Times New Roman" w:hAnsi="Times New Roman" w:cs="Times New Roman"/>
          <w:b/>
          <w:sz w:val="27"/>
          <w:lang w:val="en-US"/>
        </w:rPr>
        <w:t>Course</w:t>
      </w:r>
      <w:r>
        <w:rPr>
          <w:rFonts w:ascii="Times New Roman" w:hAnsi="Times New Roman" w:cs="Times New Roman"/>
          <w:b/>
          <w:spacing w:val="-3"/>
          <w:sz w:val="27"/>
          <w:lang w:val="en-US"/>
        </w:rPr>
        <w:t xml:space="preserve"> </w:t>
      </w:r>
      <w:r>
        <w:rPr>
          <w:rFonts w:ascii="Times New Roman" w:hAnsi="Times New Roman" w:cs="Times New Roman"/>
          <w:b/>
          <w:spacing w:val="-2"/>
          <w:sz w:val="27"/>
          <w:lang w:val="en-US"/>
        </w:rPr>
        <w:t>Instructor</w:t>
      </w:r>
      <w:r>
        <w:rPr>
          <w:rFonts w:ascii="Times New Roman" w:hAnsi="Times New Roman" w:cs="Times New Roman"/>
          <w:b/>
          <w:sz w:val="27"/>
          <w:lang w:val="en-US"/>
        </w:rPr>
        <w:t>: Dr.</w:t>
      </w:r>
      <w:r>
        <w:rPr>
          <w:rFonts w:ascii="Times New Roman" w:hAnsi="Times New Roman" w:cs="Times New Roman"/>
          <w:b/>
          <w:spacing w:val="-5"/>
          <w:sz w:val="27"/>
          <w:lang w:val="en-US"/>
        </w:rPr>
        <w:t xml:space="preserve"> </w:t>
      </w:r>
      <w:r>
        <w:rPr>
          <w:rFonts w:ascii="Times New Roman" w:hAnsi="Times New Roman" w:cs="Times New Roman"/>
          <w:b/>
          <w:sz w:val="27"/>
          <w:lang w:val="en-US"/>
        </w:rPr>
        <w:t>Loveleen</w:t>
      </w:r>
      <w:r>
        <w:rPr>
          <w:rFonts w:ascii="Times New Roman" w:hAnsi="Times New Roman" w:cs="Times New Roman"/>
          <w:b/>
          <w:spacing w:val="-6"/>
          <w:sz w:val="27"/>
          <w:lang w:val="en-US"/>
        </w:rPr>
        <w:t xml:space="preserve"> </w:t>
      </w:r>
      <w:r>
        <w:rPr>
          <w:rFonts w:ascii="Times New Roman" w:hAnsi="Times New Roman" w:cs="Times New Roman"/>
          <w:b/>
          <w:spacing w:val="-4"/>
          <w:sz w:val="27"/>
          <w:lang w:val="en-US"/>
        </w:rPr>
        <w:t>Gaur</w:t>
      </w:r>
    </w:p>
    <w:p w:rsidR="00543D7F" w:rsidRPr="00543D7F" w:rsidRDefault="00543D7F" w:rsidP="00543D7F">
      <w:pPr>
        <w:pStyle w:val="Textoindependiente"/>
        <w:spacing w:before="133"/>
        <w:jc w:val="center"/>
        <w:rPr>
          <w:b/>
          <w:sz w:val="27"/>
        </w:rPr>
      </w:pPr>
    </w:p>
    <w:p w:rsidR="00543D7F" w:rsidRPr="002C130B" w:rsidRDefault="00543D7F" w:rsidP="00543D7F">
      <w:pPr>
        <w:tabs>
          <w:tab w:val="left" w:pos="3204"/>
        </w:tabs>
        <w:ind w:left="530"/>
        <w:jc w:val="center"/>
        <w:rPr>
          <w:rFonts w:ascii="Times New Roman" w:hAnsi="Times New Roman" w:cs="Times New Roman"/>
          <w:b/>
          <w:sz w:val="27"/>
          <w:lang w:val="en-US"/>
        </w:rPr>
      </w:pPr>
      <w:r>
        <w:rPr>
          <w:rFonts w:ascii="Times New Roman" w:hAnsi="Times New Roman" w:cs="Times New Roman"/>
          <w:b/>
          <w:spacing w:val="-2"/>
          <w:sz w:val="27"/>
          <w:lang w:val="en-US"/>
        </w:rPr>
        <w:t>Student:</w:t>
      </w:r>
      <w:r>
        <w:rPr>
          <w:rFonts w:ascii="Times New Roman" w:hAnsi="Times New Roman" w:cs="Times New Roman"/>
          <w:b/>
          <w:sz w:val="27"/>
          <w:lang w:val="en-US"/>
        </w:rPr>
        <w:t xml:space="preserve"> Félix Richar Mendoza Pumacahua</w:t>
      </w:r>
    </w:p>
    <w:p w:rsidR="00543D7F" w:rsidRPr="002C130B" w:rsidRDefault="00543D7F" w:rsidP="00543D7F">
      <w:pPr>
        <w:pStyle w:val="Textoindependiente"/>
        <w:jc w:val="center"/>
        <w:rPr>
          <w:b/>
          <w:sz w:val="27"/>
        </w:rPr>
      </w:pPr>
    </w:p>
    <w:p w:rsidR="00543D7F" w:rsidRPr="002C130B" w:rsidRDefault="00543D7F" w:rsidP="00543D7F">
      <w:pPr>
        <w:pStyle w:val="Textoindependiente"/>
        <w:jc w:val="center"/>
        <w:rPr>
          <w:b/>
          <w:sz w:val="27"/>
        </w:rPr>
      </w:pPr>
    </w:p>
    <w:p w:rsidR="00543D7F" w:rsidRPr="002C130B" w:rsidRDefault="00543D7F" w:rsidP="00543D7F">
      <w:pPr>
        <w:pStyle w:val="Textoindependiente"/>
        <w:spacing w:before="270"/>
        <w:jc w:val="center"/>
        <w:rPr>
          <w:b/>
          <w:sz w:val="27"/>
        </w:rPr>
      </w:pPr>
    </w:p>
    <w:p w:rsidR="00543D7F" w:rsidRPr="00543D7F" w:rsidRDefault="00543D7F" w:rsidP="00543D7F">
      <w:pPr>
        <w:pStyle w:val="Ttulo2"/>
        <w:jc w:val="center"/>
        <w:rPr>
          <w:rFonts w:ascii="Times New Roman" w:hAnsi="Times New Roman" w:cs="Times New Roman"/>
          <w:color w:val="auto"/>
        </w:rPr>
      </w:pPr>
      <w:r>
        <w:rPr>
          <w:rFonts w:ascii="Times New Roman" w:hAnsi="Times New Roman" w:cs="Times New Roman"/>
          <w:color w:val="auto"/>
        </w:rPr>
        <w:t>2026</w:t>
      </w:r>
      <w:r>
        <w:rPr>
          <w:rFonts w:ascii="Times New Roman" w:hAnsi="Times New Roman" w:cs="Times New Roman"/>
          <w:color w:val="auto"/>
          <w:spacing w:val="-2"/>
        </w:rPr>
        <w:t xml:space="preserve"> </w:t>
      </w:r>
      <w:r>
        <w:rPr>
          <w:rFonts w:ascii="Times New Roman" w:hAnsi="Times New Roman" w:cs="Times New Roman"/>
          <w:color w:val="auto"/>
        </w:rPr>
        <w:t>-</w:t>
      </w:r>
      <w:r>
        <w:rPr>
          <w:rFonts w:ascii="Times New Roman" w:hAnsi="Times New Roman" w:cs="Times New Roman"/>
          <w:color w:val="auto"/>
          <w:spacing w:val="-1"/>
        </w:rPr>
        <w:t xml:space="preserve"> </w:t>
      </w:r>
      <w:r>
        <w:rPr>
          <w:rFonts w:ascii="Times New Roman" w:hAnsi="Times New Roman" w:cs="Times New Roman"/>
          <w:color w:val="auto"/>
          <w:spacing w:val="-5"/>
        </w:rPr>
        <w:t>II</w:t>
      </w:r>
    </w:p>
    <w:p w:rsidR="00543D7F" w:rsidRDefault="00543D7F">
      <w:pPr>
        <w:spacing w:after="200"/>
        <w:jc w:val="center"/>
      </w:pPr>
    </w:p>
    <w:p w:rsidR="00543D7F" w:rsidRDefault="00543D7F">
      <w:r>
        <w:br w:type="page"/>
      </w:r>
    </w:p>
    <w:p w:rsidR="00C01733" w:rsidRPr="00C01733" w:rsidRDefault="00C01733" w:rsidP="00C01733">
      <w:pPr>
        <w:pStyle w:val="Ttulo1"/>
        <w:spacing w:before="400" w:after="200"/>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Reproducibility Audit Report</w:t>
      </w:r>
    </w:p>
    <w:p w:rsidR="00C1003E" w:rsidRDefault="00146776">
      <w:pPr>
        <w:spacing w:after="120"/>
      </w:pPr>
      <w:r>
        <w:rPr>
          <w:rFonts w:ascii="Times New Roman" w:eastAsia="Times New Roman" w:hAnsi="Times New Roman"/>
          <w:i/>
        </w:rPr>
        <w:t xml:space="preserve">Reproducibility audit of a published paper</w:t>
      </w:r>
    </w:p>
    <w:p w:rsidR="00C1003E" w:rsidRPr="002C130B" w:rsidRDefault="00146776">
      <w:pPr>
        <w:spacing w:after="120"/>
        <w:jc w:val="both"/>
        <w:rPr>
          <w:lang w:val="en-US"/>
        </w:rPr>
      </w:pPr>
      <w:r>
        <w:rPr>
          <w:rFonts w:ascii="Times New Roman" w:eastAsia="Times New Roman" w:hAnsi="Times New Roman"/>
          <w:b/>
        </w:rPr>
        <w:t xml:space="preserve">Audited paper:</w:t>
      </w:r>
      <w:r>
        <w:rPr>
          <w:rFonts w:ascii="Times New Roman" w:eastAsia="Times New Roman" w:hAnsi="Times New Roman"/>
        </w:rPr>
        <w:t xml:space="preserve"> Alenezi, M., Akour, M., &amp; Al-Omari, O. (2026). Agentic artificial intelligence in software engineering: Integration points, architectural frameworks, empirical evaluation, and governance. </w:t>
      </w:r>
      <w:r>
        <w:rPr>
          <w:rFonts w:ascii="Times New Roman" w:eastAsia="Times New Roman" w:hAnsi="Times New Roman"/>
          <w:i/>
        </w:rPr>
        <w:t xml:space="preserve">International Journal of Technology, 17</w:t>
      </w:r>
      <w:r>
        <w:rPr>
          <w:rFonts w:ascii="Times New Roman" w:eastAsia="Times New Roman" w:hAnsi="Times New Roman"/>
        </w:rPr>
        <w:t xml:space="preserve">(4), 1245–1262. https://doi.org/10.14716/ijtech.v17i4.8380</w:t>
      </w:r>
    </w:p>
    <w:p w:rsidR="00C1003E" w:rsidRDefault="00146776">
      <w:pPr>
        <w:spacing w:after="120"/>
        <w:jc w:val="both"/>
      </w:pPr>
      <w:r>
        <w:rPr>
          <w:rFonts w:ascii="Times New Roman" w:eastAsia="Times New Roman" w:hAnsi="Times New Roman"/>
          <w:b/>
          <w:lang w:val="en-US"/>
        </w:rPr>
        <w:t xml:space="preserve">Overall score:</w:t>
      </w:r>
      <w:r>
        <w:rPr>
          <w:rFonts w:ascii="Times New Roman" w:eastAsia="Times New Roman" w:hAnsi="Times New Roman"/>
          <w:lang w:val="en-US"/>
        </w:rPr>
        <w:t xml:space="preserve"> 3.5 / 9 (≈ 3.9 / 10), low reproducibility. The checklist applied is the course </w:t>
      </w:r>
      <w:r>
        <w:rPr>
          <w:rFonts w:ascii="Times New Roman" w:eastAsia="Times New Roman" w:hAnsi="Times New Roman"/>
          <w:i/>
          <w:lang w:val="en-US"/>
        </w:rPr>
        <w:t xml:space="preserve">Reproducibility Scorecard</w:t>
      </w:r>
      <w:r>
        <w:rPr>
          <w:rFonts w:ascii="Times New Roman" w:eastAsia="Times New Roman" w:hAnsi="Times New Roman"/>
          <w:lang w:val="en-US"/>
        </w:rPr>
        <w:t xml:space="preserve"> (Yes / Partial / No); the machine-learning items were adapted to the quasi-experimental design of the paper.</w:t>
      </w: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Paper Metadata</w:t>
      </w:r>
    </w:p>
    <w:p w:rsidR="00C1003E" w:rsidRDefault="00146776">
      <w:pPr>
        <w:spacing w:after="120"/>
        <w:jc w:val="both"/>
      </w:pPr>
      <w:r>
        <w:rPr>
          <w:rFonts w:ascii="Times New Roman" w:eastAsia="Times New Roman" w:hAnsi="Times New Roman"/>
        </w:rPr>
        <w:t xml:space="preserve">Alenezi et al. (2026) combine a systematic literature review of 34 studies with a quasi-experimental before–after analysis of four enterprise teams; the study is auditable, although its sample is limited to N = 4.</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2200"/>
        <w:gridCol w:w="7160"/>
      </w:tblGrid>
      <w:tr w:rsidR="00C1003E">
        <w:trPr>
          <w:tblHeader/>
          <w:jc w:val="center"/>
        </w:trPr>
        <w:tc>
          <w:tcPr>
            <w:tcW w:w="2200" w:type="dxa"/>
            <w:shd w:val="clear" w:color="auto" w:fill="1F3864"/>
          </w:tcPr>
          <w:p w:rsidR="00C1003E" w:rsidRDefault="00146776">
            <w:pPr>
              <w:spacing w:after="40"/>
            </w:pPr>
            <w:r>
              <w:rPr>
                <w:rFonts w:ascii="Times New Roman" w:eastAsia="Times New Roman" w:hAnsi="Times New Roman"/>
                <w:b/>
                <w:color w:val="FFFFFF"/>
                <w:sz w:val="17"/>
              </w:rPr>
              <w:t xml:space="preserve">Field</w:t>
            </w:r>
          </w:p>
        </w:tc>
        <w:tc>
          <w:tcPr>
            <w:tcW w:w="7160" w:type="dxa"/>
            <w:shd w:val="clear" w:color="auto" w:fill="1F3864"/>
          </w:tcPr>
          <w:p w:rsidR="00C1003E" w:rsidRDefault="00146776">
            <w:pPr>
              <w:spacing w:after="40"/>
            </w:pPr>
            <w:r>
              <w:rPr>
                <w:rFonts w:ascii="Times New Roman" w:eastAsia="Times New Roman" w:hAnsi="Times New Roman"/>
                <w:b/>
                <w:color w:val="FFFFFF"/>
                <w:sz w:val="17"/>
              </w:rPr>
              <w:t xml:space="preserve">Detail</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Citation</w:t>
            </w:r>
          </w:p>
        </w:tc>
        <w:tc>
          <w:tcPr>
            <w:tcW w:w="7160" w:type="dxa"/>
          </w:tcPr>
          <w:p w:rsidR="00C1003E" w:rsidRDefault="00146776">
            <w:pPr>
              <w:spacing w:after="40"/>
            </w:pPr>
            <w:r>
              <w:rPr>
                <w:rFonts w:ascii="Times New Roman" w:eastAsia="Times New Roman" w:hAnsi="Times New Roman"/>
                <w:sz w:val="17"/>
              </w:rPr>
              <w:t xml:space="preserve">Alenezi, M., Akour, M., &amp; Al-Omari, O. (2026). </w:t>
            </w:r>
            <w:r>
              <w:rPr>
                <w:rFonts w:ascii="Times New Roman" w:eastAsia="Times New Roman" w:hAnsi="Times New Roman"/>
                <w:i/>
                <w:sz w:val="17"/>
              </w:rPr>
              <w:t>International Journal of Technology, 17</w:t>
            </w:r>
            <w:r>
              <w:rPr>
                <w:rFonts w:ascii="Times New Roman" w:eastAsia="Times New Roman" w:hAnsi="Times New Roman"/>
                <w:sz w:val="17"/>
              </w:rPr>
              <w:t>(4), 1245–1262.</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DOI</w:t>
            </w:r>
          </w:p>
        </w:tc>
        <w:tc>
          <w:tcPr>
            <w:tcW w:w="7160" w:type="dxa"/>
          </w:tcPr>
          <w:p w:rsidR="00C1003E" w:rsidRDefault="00146776">
            <w:pPr>
              <w:spacing w:after="40"/>
            </w:pPr>
            <w:r>
              <w:rPr>
                <w:rFonts w:ascii="Times New Roman" w:eastAsia="Times New Roman" w:hAnsi="Times New Roman"/>
                <w:sz w:val="17"/>
              </w:rPr>
              <w:t>https://doi.org/10.14716/ijtech.v17i4.8380</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Type and dates</w:t>
            </w:r>
          </w:p>
        </w:tc>
        <w:tc>
          <w:tcPr>
            <w:tcW w:w="7160" w:type="dxa"/>
          </w:tcPr>
          <w:p w:rsidR="00C1003E" w:rsidRDefault="00146776">
            <w:pPr>
              <w:spacing w:after="40"/>
            </w:pPr>
            <w:r>
              <w:rPr>
                <w:rFonts w:ascii="Times New Roman" w:eastAsia="Times New Roman" w:hAnsi="Times New Roman"/>
                <w:sz w:val="17"/>
              </w:rPr>
              <w:t xml:space="preserve">Research article; received January 2026, revised February 2026, accepted May 2026.</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Affiliations</w:t>
            </w:r>
          </w:p>
        </w:tc>
        <w:tc>
          <w:tcPr>
            <w:tcW w:w="7160" w:type="dxa"/>
          </w:tcPr>
          <w:p w:rsidR="00C1003E" w:rsidRDefault="00146776">
            <w:pPr>
              <w:spacing w:after="40"/>
            </w:pPr>
            <w:r>
              <w:rPr>
                <w:rFonts w:ascii="Times New Roman" w:eastAsia="Times New Roman" w:hAnsi="Times New Roman"/>
                <w:sz w:val="17"/>
                <w:lang w:val="en-US"/>
              </w:rPr>
              <w:t xml:space="preserve">Saudi Data &amp; AI Authority; Al Yamamah University; Prince Sultan University (Riyadh).</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Research questions</w:t>
            </w:r>
          </w:p>
        </w:tc>
        <w:tc>
          <w:tcPr>
            <w:tcW w:w="7160" w:type="dxa"/>
          </w:tcPr>
          <w:p w:rsidR="00C1003E" w:rsidRDefault="00146776">
            <w:pPr>
              <w:spacing w:after="40"/>
            </w:pPr>
            <w:r>
              <w:rPr>
                <w:rFonts w:ascii="Times New Roman" w:eastAsia="Times New Roman" w:hAnsi="Times New Roman"/>
                <w:sz w:val="17"/>
              </w:rPr>
              <w:t xml:space="preserve">(1) Which SDLC phases yield the greatest benefit; (2) which architectural and governance patterns enable safe deployment; (3) measurable impact on quality, productivity, and reliability; (4) comparison with a baseline without AI.</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Design</w:t>
            </w:r>
          </w:p>
        </w:tc>
        <w:tc>
          <w:tcPr>
            <w:tcW w:w="7160" w:type="dxa"/>
          </w:tcPr>
          <w:p w:rsidR="00C1003E" w:rsidRDefault="00146776">
            <w:pPr>
              <w:spacing w:after="40"/>
            </w:pPr>
            <w:r>
              <w:rPr>
                <w:rFonts w:ascii="Times New Roman" w:eastAsia="Times New Roman" w:hAnsi="Times New Roman"/>
                <w:sz w:val="17"/>
              </w:rPr>
              <w:t xml:space="preserve">Systematic literature review (2024–2025, 34 studies) plus a multi-case quasi-experimental pre/post study, April–September 2025.</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Main result</w:t>
            </w:r>
          </w:p>
        </w:tc>
        <w:tc>
          <w:tcPr>
            <w:tcW w:w="7160" w:type="dxa"/>
          </w:tcPr>
          <w:p w:rsidR="00C1003E" w:rsidRDefault="00146776">
            <w:pPr>
              <w:spacing w:after="40"/>
            </w:pPr>
            <w:r>
              <w:rPr>
                <w:rFonts w:ascii="Times New Roman" w:eastAsia="Times New Roman" w:hAnsi="Times New Roman"/>
                <w:sz w:val="17"/>
              </w:rPr>
              <w:t xml:space="preserve">Reductions of 40–55 % in lead/cycle time and 33–48 % in MTTR, higher test coverage, fewer change failures, and no compliance breaches.</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Stated limitations</w:t>
            </w:r>
          </w:p>
        </w:tc>
        <w:tc>
          <w:tcPr>
            <w:tcW w:w="7160" w:type="dxa"/>
          </w:tcPr>
          <w:p w:rsidR="00C1003E" w:rsidRDefault="00146776">
            <w:pPr>
              <w:spacing w:after="40"/>
            </w:pPr>
            <w:r>
              <w:rPr>
                <w:rFonts w:ascii="Times New Roman" w:eastAsia="Times New Roman" w:hAnsi="Times New Roman"/>
                <w:sz w:val="17"/>
              </w:rPr>
              <w:t xml:space="preserve">Small sample, single organization, no randomization, 12-week observation window.</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Funding, conflicts, AI use</w:t>
            </w:r>
          </w:p>
        </w:tc>
        <w:tc>
          <w:tcPr>
            <w:tcW w:w="7160" w:type="dxa"/>
          </w:tcPr>
          <w:p w:rsidR="00C1003E" w:rsidRDefault="00146776">
            <w:pPr>
              <w:spacing w:after="40"/>
            </w:pPr>
            <w:r>
              <w:rPr>
                <w:rFonts w:ascii="Times New Roman" w:eastAsia="Times New Roman" w:hAnsi="Times New Roman"/>
                <w:sz w:val="17"/>
              </w:rPr>
              <w:t xml:space="preserve">Article processing charge (APC) paid by Prince Sultan University; no conflicts of interest; the authors state that no AI tools were used for the text, results, or statistical analysis.</w:t>
            </w:r>
          </w:p>
        </w:tc>
      </w:tr>
      <w:tr w:rsidR="00C1003E">
        <w:trPr>
          <w:cantSplit/>
          <w:jc w:val="center"/>
        </w:trPr>
        <w:tc>
          <w:tcPr>
            <w:tcW w:w="2200" w:type="dxa"/>
          </w:tcPr>
          <w:p w:rsidR="00C1003E" w:rsidRDefault="00146776">
            <w:pPr>
              <w:spacing w:after="40"/>
            </w:pPr>
            <w:r>
              <w:rPr>
                <w:rFonts w:ascii="Times New Roman" w:eastAsia="Times New Roman" w:hAnsi="Times New Roman"/>
                <w:sz w:val="17"/>
              </w:rPr>
              <w:t xml:space="preserve">Code and data</w:t>
            </w:r>
          </w:p>
        </w:tc>
        <w:tc>
          <w:tcPr>
            <w:tcW w:w="7160" w:type="dxa"/>
          </w:tcPr>
          <w:p w:rsidR="00C1003E" w:rsidRDefault="00146776">
            <w:pPr>
              <w:spacing w:after="40"/>
            </w:pPr>
            <w:r>
              <w:rPr>
                <w:rFonts w:ascii="Times New Roman" w:eastAsia="Times New Roman" w:hAnsi="Times New Roman"/>
                <w:sz w:val="17"/>
              </w:rPr>
              <w:t xml:space="preserve">No availability statement.</w:t>
            </w:r>
          </w:p>
        </w:tc>
      </w:tr>
    </w:tbl>
    <w:p w:rsidR="00C1003E" w:rsidRDefault="00C1003E">
      <w:pPr>
        <w:spacing w:after="60"/>
      </w:pP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Experimental Setup</w:t>
      </w:r>
    </w:p>
    <w:p w:rsidR="00C1003E" w:rsidRDefault="00146776">
      <w:pPr>
        <w:spacing w:after="120"/>
        <w:jc w:val="both"/>
      </w:pPr>
      <w:r>
        <w:rPr>
          <w:rFonts w:ascii="Times New Roman" w:eastAsia="Times New Roman" w:hAnsi="Times New Roman"/>
        </w:rPr>
        <w:t xml:space="preserve">The design is a within-team before–after comparison: an 8-week baseline and a 12-week treatment period across four teams, with no control group and no randomization (Sec. 3.4).</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1900"/>
        <w:gridCol w:w="700"/>
        <w:gridCol w:w="3400"/>
        <w:gridCol w:w="3360"/>
      </w:tblGrid>
      <w:tr w:rsidR="00C1003E">
        <w:trPr>
          <w:tblHeader/>
          <w:jc w:val="center"/>
        </w:trPr>
        <w:tc>
          <w:tcPr>
            <w:tcW w:w="1900" w:type="dxa"/>
            <w:shd w:val="clear" w:color="auto" w:fill="1F3864"/>
          </w:tcPr>
          <w:p w:rsidR="00C1003E" w:rsidRDefault="00146776">
            <w:pPr>
              <w:spacing w:after="40"/>
            </w:pPr>
            <w:r>
              <w:rPr>
                <w:rFonts w:ascii="Times New Roman" w:eastAsia="Times New Roman" w:hAnsi="Times New Roman"/>
                <w:b/>
                <w:color w:val="FFFFFF"/>
                <w:sz w:val="17"/>
              </w:rPr>
              <w:t xml:space="preserve">Project</w:t>
            </w:r>
          </w:p>
        </w:tc>
        <w:tc>
          <w:tcPr>
            <w:tcW w:w="700" w:type="dxa"/>
            <w:shd w:val="clear" w:color="auto" w:fill="1F3864"/>
          </w:tcPr>
          <w:p w:rsidR="00C1003E" w:rsidRDefault="00146776">
            <w:pPr>
              <w:spacing w:after="40"/>
            </w:pPr>
            <w:r>
              <w:rPr>
                <w:rFonts w:ascii="Times New Roman" w:eastAsia="Times New Roman" w:hAnsi="Times New Roman"/>
                <w:b/>
                <w:color w:val="FFFFFF"/>
                <w:sz w:val="17"/>
              </w:rPr>
              <w:t xml:space="preserve">Team</w:t>
            </w:r>
          </w:p>
        </w:tc>
        <w:tc>
          <w:tcPr>
            <w:tcW w:w="3400" w:type="dxa"/>
            <w:shd w:val="clear" w:color="auto" w:fill="1F3864"/>
          </w:tcPr>
          <w:p w:rsidR="00C1003E" w:rsidRDefault="00146776">
            <w:pPr>
              <w:spacing w:after="40"/>
            </w:pPr>
            <w:r>
              <w:rPr>
                <w:rFonts w:ascii="Times New Roman" w:eastAsia="Times New Roman" w:hAnsi="Times New Roman"/>
                <w:b/>
                <w:color w:val="FFFFFF"/>
                <w:sz w:val="17"/>
              </w:rPr>
              <w:t xml:space="preserve">Codebase and stack</w:t>
            </w:r>
          </w:p>
        </w:tc>
        <w:tc>
          <w:tcPr>
            <w:tcW w:w="3360" w:type="dxa"/>
            <w:shd w:val="clear" w:color="auto" w:fill="1F3864"/>
          </w:tcPr>
          <w:p w:rsidR="00C1003E" w:rsidRDefault="00146776">
            <w:pPr>
              <w:spacing w:after="40"/>
            </w:pPr>
            <w:r>
              <w:rPr>
                <w:rFonts w:ascii="Times New Roman" w:eastAsia="Times New Roman" w:hAnsi="Times New Roman"/>
                <w:b/>
                <w:color w:val="FFFFFF"/>
                <w:sz w:val="17"/>
              </w:rPr>
              <w:t xml:space="preserve">Agent function (risk)</w:t>
            </w:r>
          </w:p>
        </w:tc>
      </w:tr>
      <w:tr w:rsidR="00C1003E">
        <w:trPr>
          <w:cantSplit/>
          <w:jc w:val="center"/>
        </w:trPr>
        <w:tc>
          <w:tcPr>
            <w:tcW w:w="1900" w:type="dxa"/>
          </w:tcPr>
          <w:p w:rsidR="00C1003E" w:rsidRDefault="00146776">
            <w:pPr>
              <w:spacing w:after="40"/>
            </w:pPr>
            <w:r>
              <w:rPr>
                <w:rFonts w:ascii="Times New Roman" w:eastAsia="Times New Roman" w:hAnsi="Times New Roman"/>
                <w:sz w:val="17"/>
              </w:rPr>
              <w:t xml:space="preserve">A. Banking (API)</w:t>
            </w:r>
          </w:p>
        </w:tc>
        <w:tc>
          <w:tcPr>
            <w:tcW w:w="700" w:type="dxa"/>
          </w:tcPr>
          <w:p w:rsidR="00C1003E" w:rsidRDefault="00146776">
            <w:pPr>
              <w:spacing w:after="40"/>
            </w:pPr>
            <w:r>
              <w:rPr>
                <w:rFonts w:ascii="Times New Roman" w:eastAsia="Times New Roman" w:hAnsi="Times New Roman"/>
                <w:sz w:val="17"/>
              </w:rPr>
              <w:t>11</w:t>
            </w:r>
          </w:p>
        </w:tc>
        <w:tc>
          <w:tcPr>
            <w:tcW w:w="3400" w:type="dxa"/>
          </w:tcPr>
          <w:p w:rsidR="00C1003E" w:rsidRPr="002C130B" w:rsidRDefault="00146776">
            <w:pPr>
              <w:spacing w:after="40"/>
              <w:rPr>
                <w:lang w:val="en-US"/>
              </w:rPr>
            </w:pPr>
            <w:r>
              <w:rPr>
                <w:rFonts w:ascii="Times New Roman" w:eastAsia="Times New Roman" w:hAnsi="Times New Roman"/>
                <w:sz w:val="17"/>
                <w:lang w:val="en-US"/>
              </w:rPr>
              <w:t>2.1 M LOC; Java, Spring, Kubernetes</w:t>
            </w:r>
          </w:p>
        </w:tc>
        <w:tc>
          <w:tcPr>
            <w:tcW w:w="3360" w:type="dxa"/>
          </w:tcPr>
          <w:p w:rsidR="00C1003E" w:rsidRDefault="00146776">
            <w:pPr>
              <w:spacing w:after="40"/>
            </w:pPr>
            <w:r>
              <w:rPr>
                <w:rFonts w:ascii="Times New Roman" w:eastAsia="Times New Roman" w:hAnsi="Times New Roman"/>
                <w:sz w:val="17"/>
              </w:rPr>
              <w:t xml:space="preserve">Code generation, refactoring, testing (high, PII)</w:t>
            </w:r>
          </w:p>
        </w:tc>
      </w:tr>
      <w:tr w:rsidR="00C1003E">
        <w:trPr>
          <w:cantSplit/>
          <w:jc w:val="center"/>
        </w:trPr>
        <w:tc>
          <w:tcPr>
            <w:tcW w:w="1900" w:type="dxa"/>
          </w:tcPr>
          <w:p w:rsidR="00C1003E" w:rsidRDefault="00146776">
            <w:pPr>
              <w:spacing w:after="40"/>
            </w:pPr>
            <w:r>
              <w:rPr>
                <w:rFonts w:ascii="Times New Roman" w:eastAsia="Times New Roman" w:hAnsi="Times New Roman"/>
                <w:sz w:val="17"/>
              </w:rPr>
              <w:t xml:space="preserve">B. Health (claims)</w:t>
            </w:r>
          </w:p>
        </w:tc>
        <w:tc>
          <w:tcPr>
            <w:tcW w:w="700" w:type="dxa"/>
          </w:tcPr>
          <w:p w:rsidR="00C1003E" w:rsidRDefault="00146776">
            <w:pPr>
              <w:spacing w:after="40"/>
            </w:pPr>
            <w:r>
              <w:rPr>
                <w:rFonts w:ascii="Times New Roman" w:eastAsia="Times New Roman" w:hAnsi="Times New Roman"/>
                <w:sz w:val="17"/>
              </w:rPr>
              <w:t>9</w:t>
            </w:r>
          </w:p>
        </w:tc>
        <w:tc>
          <w:tcPr>
            <w:tcW w:w="3400" w:type="dxa"/>
          </w:tcPr>
          <w:p w:rsidR="00C1003E" w:rsidRPr="002C130B" w:rsidRDefault="00146776">
            <w:pPr>
              <w:spacing w:after="40"/>
              <w:rPr>
                <w:lang w:val="en-US"/>
              </w:rPr>
            </w:pPr>
            <w:r>
              <w:rPr>
                <w:rFonts w:ascii="Times New Roman" w:eastAsia="Times New Roman" w:hAnsi="Times New Roman"/>
                <w:sz w:val="17"/>
                <w:lang w:val="en-US"/>
              </w:rPr>
              <w:t xml:space="preserve">~850 K LOC; Python, FastAPI, FHIR</w:t>
            </w:r>
          </w:p>
        </w:tc>
        <w:tc>
          <w:tcPr>
            <w:tcW w:w="3360" w:type="dxa"/>
          </w:tcPr>
          <w:p w:rsidR="00C1003E" w:rsidRDefault="00146776">
            <w:pPr>
              <w:spacing w:after="40"/>
            </w:pPr>
            <w:r>
              <w:rPr>
                <w:rFonts w:ascii="Times New Roman" w:eastAsia="Times New Roman" w:hAnsi="Times New Roman"/>
                <w:sz w:val="17"/>
              </w:rPr>
              <w:t xml:space="preserve">Test synthesis, compliance (high, PHI)</w:t>
            </w:r>
          </w:p>
        </w:tc>
      </w:tr>
      <w:tr w:rsidR="00C1003E">
        <w:trPr>
          <w:cantSplit/>
          <w:jc w:val="center"/>
        </w:trPr>
        <w:tc>
          <w:tcPr>
            <w:tcW w:w="1900" w:type="dxa"/>
          </w:tcPr>
          <w:p w:rsidR="00C1003E" w:rsidRDefault="00146776">
            <w:pPr>
              <w:spacing w:after="40"/>
            </w:pPr>
            <w:r>
              <w:rPr>
                <w:rFonts w:ascii="Times New Roman" w:eastAsia="Times New Roman" w:hAnsi="Times New Roman"/>
                <w:sz w:val="17"/>
              </w:rPr>
              <w:t xml:space="preserve">C. Analytics</w:t>
            </w:r>
          </w:p>
        </w:tc>
        <w:tc>
          <w:tcPr>
            <w:tcW w:w="700" w:type="dxa"/>
          </w:tcPr>
          <w:p w:rsidR="00C1003E" w:rsidRDefault="00146776">
            <w:pPr>
              <w:spacing w:after="40"/>
            </w:pPr>
            <w:r>
              <w:rPr>
                <w:rFonts w:ascii="Times New Roman" w:eastAsia="Times New Roman" w:hAnsi="Times New Roman"/>
                <w:sz w:val="17"/>
              </w:rPr>
              <w:t>12</w:t>
            </w:r>
          </w:p>
        </w:tc>
        <w:tc>
          <w:tcPr>
            <w:tcW w:w="3400" w:type="dxa"/>
          </w:tcPr>
          <w:p w:rsidR="00C1003E" w:rsidRPr="002C130B" w:rsidRDefault="00146776">
            <w:pPr>
              <w:spacing w:after="40"/>
              <w:rPr>
                <w:lang w:val="en-US"/>
              </w:rPr>
            </w:pPr>
            <w:r>
              <w:rPr>
                <w:rFonts w:ascii="Times New Roman" w:eastAsia="Times New Roman" w:hAnsi="Times New Roman"/>
                <w:sz w:val="17"/>
                <w:lang w:val="en-US"/>
              </w:rPr>
              <w:t>1.3 M LOC; Scala, Spark, Airflow</w:t>
            </w:r>
          </w:p>
        </w:tc>
        <w:tc>
          <w:tcPr>
            <w:tcW w:w="3360" w:type="dxa"/>
          </w:tcPr>
          <w:p w:rsidR="00C1003E" w:rsidRDefault="00146776">
            <w:pPr>
              <w:spacing w:after="40"/>
            </w:pPr>
            <w:r>
              <w:rPr>
                <w:rFonts w:ascii="Times New Roman" w:eastAsia="Times New Roman" w:hAnsi="Times New Roman"/>
                <w:sz w:val="17"/>
              </w:rPr>
              <w:t xml:space="preserve">ETL migration, documentation (medium)</w:t>
            </w:r>
          </w:p>
        </w:tc>
      </w:tr>
      <w:tr w:rsidR="00C1003E">
        <w:trPr>
          <w:cantSplit/>
          <w:jc w:val="center"/>
        </w:trPr>
        <w:tc>
          <w:tcPr>
            <w:tcW w:w="1900" w:type="dxa"/>
          </w:tcPr>
          <w:p w:rsidR="00C1003E" w:rsidRDefault="00146776">
            <w:pPr>
              <w:spacing w:after="40"/>
            </w:pPr>
            <w:r>
              <w:rPr>
                <w:rFonts w:ascii="Times New Roman" w:eastAsia="Times New Roman" w:hAnsi="Times New Roman"/>
                <w:sz w:val="17"/>
              </w:rPr>
              <w:t xml:space="preserve">D. Platform engineering</w:t>
            </w:r>
          </w:p>
        </w:tc>
        <w:tc>
          <w:tcPr>
            <w:tcW w:w="700" w:type="dxa"/>
          </w:tcPr>
          <w:p w:rsidR="00C1003E" w:rsidRDefault="00146776">
            <w:pPr>
              <w:spacing w:after="40"/>
            </w:pPr>
            <w:r>
              <w:rPr>
                <w:rFonts w:ascii="Times New Roman" w:eastAsia="Times New Roman" w:hAnsi="Times New Roman"/>
                <w:sz w:val="17"/>
              </w:rPr>
              <w:t>10</w:t>
            </w:r>
          </w:p>
        </w:tc>
        <w:tc>
          <w:tcPr>
            <w:tcW w:w="3400" w:type="dxa"/>
          </w:tcPr>
          <w:p w:rsidR="00C1003E" w:rsidRPr="002C130B" w:rsidRDefault="00146776">
            <w:pPr>
              <w:spacing w:after="40"/>
              <w:rPr>
                <w:lang w:val="en-US"/>
              </w:rPr>
            </w:pPr>
            <w:r>
              <w:rPr>
                <w:rFonts w:ascii="Times New Roman" w:eastAsia="Times New Roman" w:hAnsi="Times New Roman"/>
                <w:sz w:val="17"/>
                <w:lang w:val="en-US"/>
              </w:rPr>
              <w:t>~650 K LOC; Go, Terraform, Prometheus</w:t>
            </w:r>
          </w:p>
        </w:tc>
        <w:tc>
          <w:tcPr>
            <w:tcW w:w="3360" w:type="dxa"/>
          </w:tcPr>
          <w:p w:rsidR="00C1003E" w:rsidRDefault="00146776">
            <w:pPr>
              <w:spacing w:after="40"/>
            </w:pPr>
            <w:r>
              <w:rPr>
                <w:rFonts w:ascii="Times New Roman" w:eastAsia="Times New Roman" w:hAnsi="Times New Roman"/>
                <w:sz w:val="17"/>
              </w:rPr>
              <w:t xml:space="preserve">Incident triage, remediation (medium)</w:t>
            </w:r>
          </w:p>
        </w:tc>
      </w:tr>
    </w:tbl>
    <w:p w:rsidR="00C1003E" w:rsidRDefault="00C1003E">
      <w:pPr>
        <w:spacing w:after="60"/>
      </w:pP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Intervention:</w:t>
      </w:r>
      <w:r>
        <w:rPr>
          <w:rFonts w:ascii="Times New Roman" w:eastAsia="Times New Roman" w:hAnsi="Times New Roman"/>
        </w:rPr>
        <w:t xml:space="preserve"> a shared multi-agent platform (planning, retrieval-augmented code generation, testing, review, CI/CD, compliance, observability) integrated with Jira, GitLab, JUnit/pytest, SonarQube/ZAP, Terraform, Prometheus/Grafana, and Open Policy Agent. Neither the product nor the model is named.</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Variables:</w:t>
      </w:r>
      <w:r>
        <w:rPr>
          <w:rFonts w:ascii="Times New Roman" w:eastAsia="Times New Roman" w:hAnsi="Times New Roman"/>
        </w:rPr>
        <w:t xml:space="preserve"> twelve variables across five dimensions (Table 2)—process, quality, reliability, security/compliance, and cost—measured weekly from Git, CI/CD, issue trackers, SonarQube, and observability data, plus optional weekly developer surveys.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Analysis:</w:t>
      </w:r>
      <w:r>
        <w:rPr>
          <w:rFonts w:ascii="Times New Roman" w:eastAsia="Times New Roman" w:hAnsi="Times New Roman"/>
        </w:rPr>
        <w:t xml:space="preserve"> Wilcoxon signed-rank test (α = 0.05), Cliff’s δ, and Hodges–Lehmann estimator with 95 % bootstrap confidence intervals (10,000 resamples), computed in R 4.3.1 (Sec. 3.6).</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Systematic review:</w:t>
      </w:r>
      <w:r>
        <w:rPr>
          <w:rFonts w:ascii="Times New Roman" w:eastAsia="Times New Roman" w:hAnsi="Times New Roman"/>
        </w:rPr>
        <w:t xml:space="preserve"> 34 studies; 53 % include an empirical evaluation and none uses randomized controlled trials (Sec. 4.1).</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Case selection:</w:t>
      </w:r>
      <w:r>
        <w:rPr>
          <w:rFonts w:ascii="Times New Roman" w:eastAsia="Times New Roman" w:hAnsi="Times New Roman"/>
        </w:rPr>
        <w:t xml:space="preserve"> based on willingness to participate, domain and stack diversity, established CI/CD infrastructure, and available baseline metrics (Sec. 3.3); the authors acknowledge a risk of selection bias.</w:t>
      </w: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Leakage Check</w:t>
      </w:r>
    </w:p>
    <w:p w:rsidR="00C1003E" w:rsidRDefault="00146776">
      <w:pPr>
        <w:spacing w:after="120"/>
        <w:jc w:val="both"/>
      </w:pPr>
      <w:r>
        <w:rPr>
          <w:rFonts w:ascii="Times New Roman" w:eastAsia="Times New Roman" w:hAnsi="Times New Roman"/>
        </w:rPr>
        <w:t xml:space="preserve">The study has no train/test split, but it is exposed to equivalent threats (temporal and metric contamination): the paper names them in Sec. 5.5 but does not test them. The most serious ones are listed below.</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Censoring in defect density:</w:t>
      </w:r>
      <w:r>
        <w:rPr>
          <w:rFonts w:ascii="Times New Roman" w:eastAsia="Times New Roman" w:hAnsi="Times New Roman"/>
        </w:rPr>
        <w:t xml:space="preserve"> it is defined as production defects within 30 days (Table 2). With a 12-week treatment window, changes merged in the last four weeks were not observed for 30 days, which would bias density downward unless follow-up was extended (not mentioned).</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Metrics affected by the intervention:</w:t>
      </w:r>
      <w:r>
        <w:rPr>
          <w:rFonts w:ascii="Times New Roman" w:eastAsia="Times New Roman" w:hAnsi="Times New Roman"/>
        </w:rPr>
        <w:t xml:space="preserve"> agents generate tests, so coverage and test executions rise by construction; about 48 % of pull requests are agent-authored, which also alters the KLOC denominator and PR counts (Sec. 5.2).</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Unequal windows:</w:t>
      </w:r>
      <w:r>
        <w:rPr>
          <w:rFonts w:ascii="Times New Roman" w:eastAsia="Times New Roman" w:hAnsi="Times New Roman"/>
        </w:rPr>
        <w:t xml:space="preserve"> if the Sec. 4.2 totals are raw counts, the treatment period contains 50 % more weeks. Per week, commits rise 19 % (2,156 → 3,847), PRs 18 % (1,087 → 1,923), deployments 39 % (234 → 487), and test executions 14 % (52,109 → 89,234), while incidents fall 64 % (124 → 67), compared with raw increases of 78 %, 77 %, 108 %, and 71 % and a raw decrease of 46 %. The text does not clarify which case applies.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History and seasonality:</w:t>
      </w:r>
      <w:r>
        <w:rPr>
          <w:rFonts w:ascii="Times New Roman" w:eastAsia="Times New Roman" w:hAnsi="Times New Roman"/>
        </w:rPr>
        <w:t xml:space="preserve"> baseline and treatment fall in different periods; the statement that release cycles were “taken into account” is not substantiated, and there are no covariates or interrupted time series.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Novelty and learning effects:</w:t>
      </w:r>
      <w:r>
        <w:rPr>
          <w:rFonts w:ascii="Times New Roman" w:eastAsia="Times New Roman" w:hAnsi="Times New Roman"/>
        </w:rPr>
        <w:t xml:space="preserve"> volunteer teams, with gains concentrated in weeks 2–6, and no washout period or blinded evaluation.</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Independence:</w:t>
      </w:r>
      <w:r>
        <w:rPr>
          <w:rFonts w:ascii="Times New Roman" w:eastAsia="Times New Roman" w:hAnsi="Times New Roman"/>
        </w:rPr>
        <w:t xml:space="preserve"> the authors designed, executed, and analyzed the study (Author Contributions); there is no preregistration or independent analysis.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Framework validated on the same cases:</w:t>
      </w:r>
      <w:r>
        <w:rPr>
          <w:rFonts w:ascii="Times New Roman" w:eastAsia="Times New Roman" w:hAnsi="Times New Roman"/>
        </w:rPr>
        <w:t xml:space="preserve"> the framework is proposed and “validated” on the same four projects; it is unclear whether it was adjusted during the study, and no holdout set exists.</w:t>
      </w: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Statistical Rigor</w:t>
      </w:r>
    </w:p>
    <w:p w:rsidR="00C1003E" w:rsidRDefault="00146776">
      <w:pPr>
        <w:spacing w:after="120"/>
        <w:jc w:val="both"/>
      </w:pPr>
      <w:r>
        <w:rPr>
          <w:rFonts w:ascii="Times New Roman" w:eastAsia="Times New Roman" w:hAnsi="Times New Roman"/>
        </w:rPr>
        <w:t xml:space="preserve">The reported p-values (0.005–0.02) cannot derive from a Wilcoxon signed-rank test on four teams: with n = 4 pairs, the minimum exact two-sided p-value is 2/16 = 0.125.</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Unit of analysis not stated.</w:t>
      </w:r>
      <w:r>
        <w:rPr>
          <w:rFonts w:ascii="Times New Roman" w:eastAsia="Times New Roman" w:hAnsi="Times New Roman"/>
        </w:rPr>
        <w:t xml:space="preserve"> If the units are teams, p ≥ 0.125. If they are weeks, the 8 baseline and 12 treatment weeks do not form pairs (a Mann–Whitney test would apply), and weeks within a team are autocorrelated (pseudoreplication).</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Bootstrap with four clusters:</w:t>
      </w:r>
      <w:r>
        <w:rPr>
          <w:rFonts w:ascii="Times New Roman" w:eastAsia="Times New Roman" w:hAnsi="Times New Roman"/>
        </w:rPr>
        <w:t xml:space="preserve"> resampling four teams yields unstable intervals, whereas resampling weeks ignores the team effect.</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Multiple comparisons:</w:t>
      </w:r>
      <w:r>
        <w:rPr>
          <w:rFonts w:ascii="Times New Roman" w:eastAsia="Times New Roman" w:hAnsi="Times New Roman"/>
        </w:rPr>
        <w:t xml:space="preserve"> six outcomes are tested at α = 0.05 without correction and without a power analysis (the authors only acknowledge limited power, Sec. 5.5).</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Effect-size labels:</w:t>
      </w:r>
      <w:r>
        <w:rPr>
          <w:rFonts w:ascii="Times New Roman" w:eastAsia="Times New Roman" w:hAnsi="Times New Roman"/>
        </w:rPr>
        <w:t xml:space="preserve"> Sec. 3.6 sets “large” at |δ| ≥ 0.47, yet Table 4 labels δ = 0.58 (defect density) and δ = 0.54 (change failure rate) as “medium.”</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Aggregate medians only:</w:t>
      </w:r>
      <w:r>
        <w:rPr>
          <w:rFonts w:ascii="Times New Roman" w:eastAsia="Times New Roman" w:hAnsi="Times New Roman"/>
        </w:rPr>
        <w:t xml:space="preserve"> the paper claims improvement “consistent across all projects” without reporting per-project results.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Figure 6:</w:t>
      </w:r>
      <w:r>
        <w:rPr>
          <w:rFonts w:ascii="Times New Roman" w:eastAsia="Times New Roman" w:hAnsi="Times New Roman"/>
        </w:rPr>
        <w:t xml:space="preserve"> the three series appear as straight lines between the baseline and treatment medians, whereas the text states that gains concentrate in weeks 2–6 and then stabilize; it appears to be an illustrative trend rather than observed weekly data (visual inference).</w:t>
      </w:r>
    </w:p>
    <w:p w:rsidR="00C1003E" w:rsidRDefault="00146776">
      <w:pPr>
        <w:keepNext/>
        <w:spacing w:before="80" w:after="80"/>
        <w:jc w:val="both"/>
      </w:pPr>
      <w:r>
        <w:rPr>
          <w:rFonts w:ascii="Times New Roman" w:eastAsia="Times New Roman" w:hAnsi="Times New Roman"/>
        </w:rPr>
        <w:t xml:space="preserve">The abstract and Table 4 also contradict each other:</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1700"/>
        <w:gridCol w:w="3500"/>
        <w:gridCol w:w="4160"/>
      </w:tblGrid>
      <w:tr w:rsidR="00C1003E">
        <w:trPr>
          <w:tblHeader/>
          <w:jc w:val="center"/>
        </w:trPr>
        <w:tc>
          <w:tcPr>
            <w:tcW w:w="1700" w:type="dxa"/>
            <w:shd w:val="clear" w:color="auto" w:fill="1F3864"/>
          </w:tcPr>
          <w:p w:rsidR="00C1003E" w:rsidRDefault="00146776">
            <w:pPr>
              <w:spacing w:after="40"/>
            </w:pPr>
            <w:r>
              <w:rPr>
                <w:rFonts w:ascii="Times New Roman" w:eastAsia="Times New Roman" w:hAnsi="Times New Roman"/>
                <w:b/>
                <w:color w:val="FFFFFF"/>
                <w:sz w:val="17"/>
              </w:rPr>
              <w:t xml:space="preserve">Metric</w:t>
            </w:r>
          </w:p>
        </w:tc>
        <w:tc>
          <w:tcPr>
            <w:tcW w:w="3500" w:type="dxa"/>
            <w:shd w:val="clear" w:color="auto" w:fill="1F3864"/>
          </w:tcPr>
          <w:p w:rsidR="00C1003E" w:rsidRDefault="00146776">
            <w:pPr>
              <w:spacing w:after="40"/>
            </w:pPr>
            <w:r>
              <w:rPr>
                <w:rFonts w:ascii="Times New Roman" w:eastAsia="Times New Roman" w:hAnsi="Times New Roman"/>
                <w:b/>
                <w:color w:val="FFFFFF"/>
                <w:sz w:val="17"/>
              </w:rPr>
              <w:t xml:space="preserve">Abstract</w:t>
            </w:r>
          </w:p>
        </w:tc>
        <w:tc>
          <w:tcPr>
            <w:tcW w:w="4160" w:type="dxa"/>
            <w:shd w:val="clear" w:color="auto" w:fill="1F3864"/>
          </w:tcPr>
          <w:p w:rsidR="00C1003E" w:rsidRDefault="00146776">
            <w:pPr>
              <w:spacing w:after="40"/>
            </w:pPr>
            <w:r>
              <w:rPr>
                <w:rFonts w:ascii="Times New Roman" w:eastAsia="Times New Roman" w:hAnsi="Times New Roman"/>
                <w:b/>
                <w:color w:val="FFFFFF"/>
                <w:sz w:val="17"/>
              </w:rPr>
              <w:t xml:space="preserve">Table 4 / Sec. 4.3</w:t>
            </w:r>
          </w:p>
        </w:tc>
      </w:tr>
      <w:tr w:rsidR="00C1003E">
        <w:trPr>
          <w:cantSplit/>
          <w:jc w:val="center"/>
        </w:trPr>
        <w:tc>
          <w:tcPr>
            <w:tcW w:w="1700" w:type="dxa"/>
          </w:tcPr>
          <w:p w:rsidR="00C1003E" w:rsidRDefault="00146776">
            <w:pPr>
              <w:spacing w:after="40"/>
            </w:pPr>
            <w:r>
              <w:rPr>
                <w:rFonts w:ascii="Times New Roman" w:eastAsia="Times New Roman" w:hAnsi="Times New Roman"/>
                <w:sz w:val="17"/>
              </w:rPr>
              <w:t xml:space="preserve">Cycle time / lead time</w:t>
            </w:r>
          </w:p>
        </w:tc>
        <w:tc>
          <w:tcPr>
            <w:tcW w:w="3500" w:type="dxa"/>
          </w:tcPr>
          <w:p w:rsidR="00C1003E" w:rsidRDefault="00146776">
            <w:pPr>
              <w:spacing w:after="40"/>
            </w:pPr>
            <w:r>
              <w:rPr>
                <w:rFonts w:ascii="Times New Roman" w:eastAsia="Times New Roman" w:hAnsi="Times New Roman"/>
                <w:sz w:val="17"/>
              </w:rPr>
              <w:t xml:space="preserve">−40 to −55 %; median −2.4 d, CI [−3.1, −1.7], p = 0.01</w:t>
            </w:r>
          </w:p>
        </w:tc>
        <w:tc>
          <w:tcPr>
            <w:tcW w:w="4160" w:type="dxa"/>
          </w:tcPr>
          <w:p w:rsidR="00C1003E" w:rsidRDefault="00146776">
            <w:pPr>
              <w:spacing w:after="40"/>
            </w:pPr>
            <w:r>
              <w:rPr>
                <w:rFonts w:ascii="Times New Roman" w:eastAsia="Times New Roman" w:hAnsi="Times New Roman"/>
                <w:sz w:val="17"/>
              </w:rPr>
              <w:t xml:space="preserve">Only “lead time”: 7.1 → 4.0 d, −3.1 d, CI [−4.0, −2.2], p = 0.008 (the text and Fig. 5 call 7.1 → 4.0 “cycle time”)</w:t>
            </w:r>
          </w:p>
        </w:tc>
      </w:tr>
      <w:tr w:rsidR="00C1003E">
        <w:trPr>
          <w:cantSplit/>
          <w:jc w:val="center"/>
        </w:trPr>
        <w:tc>
          <w:tcPr>
            <w:tcW w:w="1700" w:type="dxa"/>
          </w:tcPr>
          <w:p w:rsidR="00C1003E" w:rsidRDefault="00146776">
            <w:pPr>
              <w:spacing w:after="40"/>
            </w:pPr>
            <w:r>
              <w:rPr>
                <w:rFonts w:ascii="Times New Roman" w:eastAsia="Times New Roman" w:hAnsi="Times New Roman"/>
                <w:sz w:val="17"/>
              </w:rPr>
              <w:t>MTTR</w:t>
            </w:r>
          </w:p>
        </w:tc>
        <w:tc>
          <w:tcPr>
            <w:tcW w:w="3500" w:type="dxa"/>
          </w:tcPr>
          <w:p w:rsidR="00C1003E" w:rsidRDefault="00146776">
            <w:pPr>
              <w:spacing w:after="40"/>
            </w:pPr>
            <w:r>
              <w:rPr>
                <w:rFonts w:ascii="Times New Roman" w:eastAsia="Times New Roman" w:hAnsi="Times New Roman"/>
                <w:sz w:val="17"/>
              </w:rPr>
              <w:t xml:space="preserve">−29 min, CI [−38, −20], p = 0.02</w:t>
            </w:r>
          </w:p>
        </w:tc>
        <w:tc>
          <w:tcPr>
            <w:tcW w:w="4160" w:type="dxa"/>
          </w:tcPr>
          <w:p w:rsidR="00C1003E" w:rsidRDefault="00146776">
            <w:pPr>
              <w:spacing w:after="40"/>
            </w:pPr>
            <w:r>
              <w:rPr>
                <w:rFonts w:ascii="Times New Roman" w:eastAsia="Times New Roman" w:hAnsi="Times New Roman"/>
                <w:sz w:val="17"/>
              </w:rPr>
              <w:t xml:space="preserve">−32 min, CI [−43, −21], p = 0.010</w:t>
            </w:r>
          </w:p>
        </w:tc>
      </w:tr>
      <w:tr w:rsidR="00C1003E">
        <w:trPr>
          <w:cantSplit/>
          <w:jc w:val="center"/>
        </w:trPr>
        <w:tc>
          <w:tcPr>
            <w:tcW w:w="1700" w:type="dxa"/>
          </w:tcPr>
          <w:p w:rsidR="00C1003E" w:rsidRDefault="00146776">
            <w:pPr>
              <w:spacing w:after="40"/>
            </w:pPr>
            <w:r>
              <w:rPr>
                <w:rFonts w:ascii="Times New Roman" w:eastAsia="Times New Roman" w:hAnsi="Times New Roman"/>
                <w:sz w:val="17"/>
              </w:rPr>
              <w:t xml:space="preserve">Test coverage</w:t>
            </w:r>
          </w:p>
        </w:tc>
        <w:tc>
          <w:tcPr>
            <w:tcW w:w="3500" w:type="dxa"/>
          </w:tcPr>
          <w:p w:rsidR="00C1003E" w:rsidRDefault="00146776">
            <w:pPr>
              <w:spacing w:after="40"/>
            </w:pPr>
            <w:r>
              <w:rPr>
                <w:rFonts w:ascii="Times New Roman" w:eastAsia="Times New Roman" w:hAnsi="Times New Roman"/>
                <w:sz w:val="17"/>
              </w:rPr>
              <w:t xml:space="preserve">+11 to +45 % (the Discussion says “percentage points”)</w:t>
            </w:r>
          </w:p>
        </w:tc>
        <w:tc>
          <w:tcPr>
            <w:tcW w:w="4160" w:type="dxa"/>
          </w:tcPr>
          <w:p w:rsidR="00C1003E" w:rsidRDefault="00146776">
            <w:pPr>
              <w:spacing w:after="40"/>
            </w:pPr>
            <w:r>
              <w:rPr>
                <w:rFonts w:ascii="Times New Roman" w:eastAsia="Times New Roman" w:hAnsi="Times New Roman"/>
                <w:sz w:val="17"/>
              </w:rPr>
              <w:t>+18 pp (51 → 69)</w:t>
            </w:r>
          </w:p>
        </w:tc>
      </w:tr>
      <w:tr w:rsidR="00C1003E">
        <w:trPr>
          <w:cantSplit/>
          <w:jc w:val="center"/>
        </w:trPr>
        <w:tc>
          <w:tcPr>
            <w:tcW w:w="1700" w:type="dxa"/>
          </w:tcPr>
          <w:p w:rsidR="00C1003E" w:rsidRDefault="00146776">
            <w:pPr>
              <w:spacing w:after="40"/>
            </w:pPr>
            <w:r>
              <w:rPr>
                <w:rFonts w:ascii="Times New Roman" w:eastAsia="Times New Roman" w:hAnsi="Times New Roman"/>
                <w:sz w:val="17"/>
              </w:rPr>
              <w:t xml:space="preserve">Change failures</w:t>
            </w:r>
          </w:p>
        </w:tc>
        <w:tc>
          <w:tcPr>
            <w:tcW w:w="3500" w:type="dxa"/>
          </w:tcPr>
          <w:p w:rsidR="00C1003E" w:rsidRDefault="00146776">
            <w:pPr>
              <w:spacing w:after="40"/>
            </w:pPr>
            <w:r>
              <w:rPr>
                <w:rFonts w:ascii="Times New Roman" w:eastAsia="Times New Roman" w:hAnsi="Times New Roman"/>
                <w:sz w:val="17"/>
              </w:rPr>
              <w:t xml:space="preserve">−7 to −11 %</w:t>
            </w:r>
          </w:p>
        </w:tc>
        <w:tc>
          <w:tcPr>
            <w:tcW w:w="4160" w:type="dxa"/>
          </w:tcPr>
          <w:p w:rsidR="00C1003E" w:rsidRDefault="00146776">
            <w:pPr>
              <w:spacing w:after="40"/>
            </w:pPr>
            <w:r>
              <w:rPr>
                <w:rFonts w:ascii="Times New Roman" w:eastAsia="Times New Roman" w:hAnsi="Times New Roman"/>
                <w:sz w:val="17"/>
              </w:rPr>
              <w:t>−8 pp (24 → 16)</w:t>
            </w:r>
          </w:p>
        </w:tc>
      </w:tr>
    </w:tbl>
    <w:p w:rsidR="00C1003E" w:rsidRDefault="00C1003E">
      <w:pPr>
        <w:spacing w:after="60"/>
      </w:pP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Missing Information</w:t>
      </w:r>
    </w:p>
    <w:p w:rsidR="00C1003E" w:rsidRDefault="00146776">
      <w:pPr>
        <w:spacing w:after="120"/>
        <w:jc w:val="both"/>
      </w:pPr>
      <w:r>
        <w:rPr>
          <w:rFonts w:ascii="Times New Roman" w:eastAsia="Times New Roman" w:hAnsi="Times New Roman"/>
        </w:rPr>
        <w:t xml:space="preserve">Information needed for an independent party to replicate the study is absent: the agent platform, the weekly data, and the review protocol.</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Agent platform:</w:t>
      </w:r>
      <w:r>
        <w:rPr>
          <w:rFonts w:ascii="Times New Roman" w:eastAsia="Times New Roman" w:hAnsi="Times New Roman"/>
        </w:rPr>
        <w:t xml:space="preserve"> product, LLM and version, prompts and configuration, autonomy level, human-approval rules, and Open Policy Agent policies.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Study protocol:</w:t>
      </w:r>
      <w:r>
        <w:rPr>
          <w:rFonts w:ascii="Times New Roman" w:eastAsia="Times New Roman" w:hAnsi="Times New Roman"/>
        </w:rPr>
        <w:t xml:space="preserve"> preregistration, dates per project, how windows were aligned with release cycles, unit of analysis, missing weeks, and adoption curve per team.</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Data:</w:t>
      </w:r>
      <w:r>
        <w:rPr>
          <w:rFonts w:ascii="Times New Roman" w:eastAsia="Times New Roman" w:hAnsi="Times New Roman"/>
        </w:rPr>
        <w:t xml:space="preserve"> per-project, per-week values; extraction and analysis scripts; and a data availability statement. The distinction between </w:t>
      </w:r>
      <w:r>
        <w:rPr>
          <w:rFonts w:ascii="Times New Roman" w:eastAsia="Times New Roman" w:hAnsi="Times New Roman"/>
          <w:i/>
        </w:rPr>
        <w:t xml:space="preserve">lead time</w:t>
      </w:r>
      <w:r>
        <w:rPr>
          <w:rFonts w:ascii="Times New Roman" w:eastAsia="Times New Roman" w:hAnsi="Times New Roman"/>
        </w:rPr>
        <w:t xml:space="preserve"> and </w:t>
      </w:r>
      <w:r>
        <w:rPr>
          <w:rFonts w:ascii="Times New Roman" w:eastAsia="Times New Roman" w:hAnsi="Times New Roman"/>
          <w:i/>
        </w:rPr>
        <w:t xml:space="preserve">cycle time</w:t>
      </w:r>
      <w:r>
        <w:rPr>
          <w:rFonts w:ascii="Times New Roman" w:eastAsia="Times New Roman" w:hAnsi="Times New Roman"/>
        </w:rPr>
        <w:t xml:space="preserve">, which are used interchangeably, is also unclear.</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Defined but unreported outcomes:</w:t>
      </w:r>
      <w:r>
        <w:rPr>
          <w:rFonts w:ascii="Times New Roman" w:eastAsia="Times New Roman" w:hAnsi="Times New Roman"/>
        </w:rPr>
        <w:t xml:space="preserve"> flaky-test rate, secrets incidents, cloud cost, pipeline duration, and perception surveys (Table 2 and Sec. 3.5); “escaped defects” and “time to first review” appear in the text without definition or figures.</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Ethics:</w:t>
      </w:r>
      <w:r>
        <w:rPr>
          <w:rFonts w:ascii="Times New Roman" w:eastAsia="Times New Roman" w:hAnsi="Times New Roman"/>
        </w:rPr>
        <w:t xml:space="preserve"> no approval or consent is reported for developer data and surveys, and the organization is neither identified nor stated to be anonymized.</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Systematic review:</w:t>
      </w:r>
      <w:r>
        <w:rPr>
          <w:rFonts w:ascii="Times New Roman" w:eastAsia="Times New Roman" w:hAnsi="Times New Roman"/>
        </w:rPr>
        <w:t xml:space="preserve"> databases, search strings, inclusion criteria, screening, and quality appraisal are not reported, and PRISMA 2020 (Page et al., 2021) is not cited. The number of records identified before the 34 included studies is not given, and the period changes: 2024–2025 (abstract) versus 2024–2026 (Sec. 2).</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Computing environment:</w:t>
      </w:r>
      <w:r>
        <w:rPr>
          <w:rFonts w:ascii="Times New Roman" w:eastAsia="Times New Roman" w:hAnsi="Times New Roman"/>
        </w:rPr>
        <w:t xml:space="preserve"> only R 4.3.1 is reported; no packages or bootstrap seed.</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Effect of governance:</w:t>
      </w:r>
      <w:r>
        <w:rPr>
          <w:rFonts w:ascii="Times New Roman" w:eastAsia="Times New Roman" w:hAnsi="Times New Roman"/>
        </w:rPr>
        <w:t xml:space="preserve"> there is no arm with AI but without governance, so the improvements cannot be attributed to governance rather than to the agent.</w:t>
      </w:r>
    </w:p>
    <w:p w:rsidR="00C01733" w:rsidRPr="00C01733" w:rsidRDefault="00C01733" w:rsidP="00C01733">
      <w:pPr>
        <w:pStyle w:val="Ttulo1"/>
        <w:pageBreakBefore/>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Reproducibility Scorecard</w:t>
      </w:r>
    </w:p>
    <w:p w:rsidR="00C1003E" w:rsidRDefault="00146776">
      <w:pPr>
        <w:spacing w:after="120"/>
        <w:jc w:val="both"/>
      </w:pPr>
      <w:r>
        <w:rPr>
          <w:rFonts w:ascii="Times New Roman" w:eastAsia="Times New Roman" w:hAnsi="Times New Roman"/>
        </w:rPr>
        <w:t xml:space="preserve">Result: 1 Yes, 5 Partial, 3 No. The machine-learning items were adapted to the quasi-experimental design (see the equivalences in Sections 3 and 4).</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2700"/>
        <w:gridCol w:w="900"/>
        <w:gridCol w:w="5760"/>
      </w:tblGrid>
      <w:tr w:rsidR="00C1003E">
        <w:trPr>
          <w:tblHeader/>
          <w:jc w:val="center"/>
        </w:trPr>
        <w:tc>
          <w:tcPr>
            <w:tcW w:w="2700" w:type="dxa"/>
            <w:shd w:val="clear" w:color="auto" w:fill="1F3864"/>
          </w:tcPr>
          <w:p w:rsidR="00C1003E" w:rsidRDefault="00146776">
            <w:pPr>
              <w:spacing w:after="40"/>
            </w:pPr>
            <w:r>
              <w:rPr>
                <w:rFonts w:ascii="Times New Roman" w:eastAsia="Times New Roman" w:hAnsi="Times New Roman"/>
                <w:b/>
                <w:color w:val="FFFFFF"/>
                <w:sz w:val="17"/>
              </w:rPr>
              <w:t xml:space="preserve">Item</w:t>
            </w:r>
          </w:p>
        </w:tc>
        <w:tc>
          <w:tcPr>
            <w:tcW w:w="900" w:type="dxa"/>
            <w:shd w:val="clear" w:color="auto" w:fill="1F3864"/>
          </w:tcPr>
          <w:p w:rsidR="00C1003E" w:rsidRDefault="00146776">
            <w:pPr>
              <w:spacing w:after="40"/>
            </w:pPr>
            <w:r>
              <w:rPr>
                <w:rFonts w:ascii="Times New Roman" w:eastAsia="Times New Roman" w:hAnsi="Times New Roman"/>
                <w:b/>
                <w:color w:val="FFFFFF"/>
                <w:sz w:val="17"/>
              </w:rPr>
              <w:t xml:space="preserve">Y / P / N</w:t>
            </w:r>
          </w:p>
        </w:tc>
        <w:tc>
          <w:tcPr>
            <w:tcW w:w="5760" w:type="dxa"/>
            <w:shd w:val="clear" w:color="auto" w:fill="1F3864"/>
          </w:tcPr>
          <w:p w:rsidR="00C1003E" w:rsidRDefault="00146776">
            <w:pPr>
              <w:spacing w:after="40"/>
            </w:pPr>
            <w:r>
              <w:rPr>
                <w:rFonts w:ascii="Times New Roman" w:eastAsia="Times New Roman" w:hAnsi="Times New Roman"/>
                <w:b/>
                <w:color w:val="FFFFFF"/>
                <w:sz w:val="17"/>
              </w:rPr>
              <w:t xml:space="preserve">Evidence in the paper</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Seeds reported, many runs</w:t>
            </w:r>
          </w:p>
        </w:tc>
        <w:tc>
          <w:tcPr>
            <w:tcW w:w="900" w:type="dxa"/>
            <w:shd w:val="clear" w:color="auto" w:fill="FFF2CC"/>
          </w:tcPr>
          <w:p w:rsidR="00C1003E" w:rsidRDefault="00146776">
            <w:pPr>
              <w:spacing w:after="40"/>
            </w:pPr>
            <w:r>
              <w:rPr>
                <w:rFonts w:ascii="Times New Roman" w:eastAsia="Times New Roman" w:hAnsi="Times New Roman"/>
                <w:b/>
                <w:sz w:val="17"/>
              </w:rPr>
              <w:t xml:space="preserve">Partial</w:t>
            </w:r>
          </w:p>
        </w:tc>
        <w:tc>
          <w:tcPr>
            <w:tcW w:w="5760" w:type="dxa"/>
          </w:tcPr>
          <w:p w:rsidR="00C1003E" w:rsidRDefault="00146776">
            <w:pPr>
              <w:spacing w:after="40"/>
            </w:pPr>
            <w:r>
              <w:rPr>
                <w:rFonts w:ascii="Times New Roman" w:eastAsia="Times New Roman" w:hAnsi="Times New Roman"/>
                <w:sz w:val="17"/>
              </w:rPr>
              <w:t xml:space="preserve">20 weeks × 4 teams and results with confidence intervals (Table 4), but medians without dispersion, no repeated runs of the (non-deterministic) agent, and no bootstrap seed.</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Splits described</w:t>
            </w:r>
          </w:p>
        </w:tc>
        <w:tc>
          <w:tcPr>
            <w:tcW w:w="900" w:type="dxa"/>
            <w:shd w:val="clear" w:color="auto" w:fill="FFF2CC"/>
          </w:tcPr>
          <w:p w:rsidR="00C1003E" w:rsidRDefault="00146776">
            <w:pPr>
              <w:spacing w:after="40"/>
            </w:pPr>
            <w:r>
              <w:rPr>
                <w:rFonts w:ascii="Times New Roman" w:eastAsia="Times New Roman" w:hAnsi="Times New Roman"/>
                <w:b/>
                <w:sz w:val="17"/>
              </w:rPr>
              <w:t xml:space="preserve">Partial</w:t>
            </w:r>
          </w:p>
        </w:tc>
        <w:tc>
          <w:tcPr>
            <w:tcW w:w="5760" w:type="dxa"/>
          </w:tcPr>
          <w:p w:rsidR="00C1003E" w:rsidRDefault="00146776">
            <w:pPr>
              <w:spacing w:after="40"/>
            </w:pPr>
            <w:r>
              <w:rPr>
                <w:rFonts w:ascii="Times New Roman" w:eastAsia="Times New Roman" w:hAnsi="Times New Roman"/>
                <w:sz w:val="17"/>
              </w:rPr>
              <w:t xml:space="preserve">Baseline of 8 weeks and treatment of 12 weeks, team sizes, and stack (Table 1, Sec. 3.4); dates, unit of analysis, and alignment with release cycles are missing; windows are unequal.</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Leakage checked</w:t>
            </w:r>
          </w:p>
        </w:tc>
        <w:tc>
          <w:tcPr>
            <w:tcW w:w="900" w:type="dxa"/>
            <w:shd w:val="clear" w:color="auto" w:fill="F8CBAD"/>
          </w:tcPr>
          <w:p w:rsidR="00C1003E" w:rsidRDefault="00146776">
            <w:pPr>
              <w:spacing w:after="40"/>
            </w:pPr>
            <w:r>
              <w:rPr>
                <w:rFonts w:ascii="Times New Roman" w:eastAsia="Times New Roman" w:hAnsi="Times New Roman"/>
                <w:b/>
                <w:sz w:val="17"/>
              </w:rPr>
              <w:t>No</w:t>
            </w:r>
          </w:p>
        </w:tc>
        <w:tc>
          <w:tcPr>
            <w:tcW w:w="5760" w:type="dxa"/>
          </w:tcPr>
          <w:p w:rsidR="00C1003E" w:rsidRDefault="00146776">
            <w:pPr>
              <w:spacing w:after="40"/>
            </w:pPr>
            <w:r>
              <w:rPr>
                <w:rFonts w:ascii="Times New Roman" w:eastAsia="Times New Roman" w:hAnsi="Times New Roman"/>
                <w:sz w:val="17"/>
              </w:rPr>
              <w:t xml:space="preserve">Threats are named (Sec. 5.5) but not tested; 30-day censoring in defect counts and metrics influenced by the intervention.</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Tuning separated</w:t>
            </w:r>
          </w:p>
        </w:tc>
        <w:tc>
          <w:tcPr>
            <w:tcW w:w="900" w:type="dxa"/>
            <w:shd w:val="clear" w:color="auto" w:fill="FFF2CC"/>
          </w:tcPr>
          <w:p w:rsidR="00C1003E" w:rsidRDefault="00146776">
            <w:pPr>
              <w:spacing w:after="40"/>
            </w:pPr>
            <w:r>
              <w:rPr>
                <w:rFonts w:ascii="Times New Roman" w:eastAsia="Times New Roman" w:hAnsi="Times New Roman"/>
                <w:b/>
                <w:sz w:val="17"/>
              </w:rPr>
              <w:t xml:space="preserve">Partial</w:t>
            </w:r>
          </w:p>
        </w:tc>
        <w:tc>
          <w:tcPr>
            <w:tcW w:w="5760" w:type="dxa"/>
          </w:tcPr>
          <w:p w:rsidR="00C1003E" w:rsidRDefault="00146776">
            <w:pPr>
              <w:spacing w:after="40"/>
            </w:pPr>
            <w:r>
              <w:rPr>
                <w:rFonts w:ascii="Times New Roman" w:eastAsia="Times New Roman" w:hAnsi="Times New Roman"/>
                <w:sz w:val="17"/>
              </w:rPr>
              <w:t xml:space="preserve">The framework derives from the literature before the pilot (Sec. 3.1); it is not stated whether it was adjusted during the four projects, and there is no holdout set.</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Statistical test named</w:t>
            </w:r>
          </w:p>
        </w:tc>
        <w:tc>
          <w:tcPr>
            <w:tcW w:w="900" w:type="dxa"/>
            <w:shd w:val="clear" w:color="auto" w:fill="FFF2CC"/>
          </w:tcPr>
          <w:p w:rsidR="00C1003E" w:rsidRDefault="00146776">
            <w:pPr>
              <w:spacing w:after="40"/>
            </w:pPr>
            <w:r>
              <w:rPr>
                <w:rFonts w:ascii="Times New Roman" w:eastAsia="Times New Roman" w:hAnsi="Times New Roman"/>
                <w:b/>
                <w:sz w:val="17"/>
              </w:rPr>
              <w:t xml:space="preserve">Partial</w:t>
            </w:r>
          </w:p>
        </w:tc>
        <w:tc>
          <w:tcPr>
            <w:tcW w:w="5760" w:type="dxa"/>
          </w:tcPr>
          <w:p w:rsidR="00C1003E" w:rsidRDefault="00146776">
            <w:pPr>
              <w:spacing w:after="40"/>
            </w:pPr>
            <w:r>
              <w:rPr>
                <w:rFonts w:ascii="Times New Roman" w:eastAsia="Times New Roman" w:hAnsi="Times New Roman"/>
                <w:sz w:val="17"/>
              </w:rPr>
              <w:t xml:space="preserve">Wilcoxon, Hodges–Lehmann, Cliff’s δ, R 4.3.1 (Sec. 3.6); with n = 4 pairs the minimum p-value is 0.125, and no correction for multiple comparisons is applied.</w:t>
            </w:r>
          </w:p>
        </w:tc>
      </w:tr>
      <w:tr w:rsidR="00C1003E">
        <w:trPr>
          <w:cantSplit/>
          <w:jc w:val="center"/>
        </w:trPr>
        <w:tc>
          <w:tcPr>
            <w:tcW w:w="2700" w:type="dxa"/>
          </w:tcPr>
          <w:p w:rsidR="00C1003E" w:rsidRPr="002C130B" w:rsidRDefault="00146776">
            <w:pPr>
              <w:spacing w:after="40"/>
              <w:rPr>
                <w:lang w:val="en-US"/>
              </w:rPr>
            </w:pPr>
            <w:r>
              <w:rPr>
                <w:rFonts w:ascii="Times New Roman" w:eastAsia="Times New Roman" w:hAnsi="Times New Roman"/>
                <w:sz w:val="17"/>
                <w:lang w:val="en-US"/>
              </w:rPr>
              <w:t xml:space="preserve">Effect size and CI</w:t>
            </w:r>
          </w:p>
        </w:tc>
        <w:tc>
          <w:tcPr>
            <w:tcW w:w="900" w:type="dxa"/>
            <w:shd w:val="clear" w:color="auto" w:fill="E2EFDA"/>
          </w:tcPr>
          <w:p w:rsidR="00C1003E" w:rsidRDefault="00146776">
            <w:pPr>
              <w:spacing w:after="40"/>
            </w:pPr>
            <w:r>
              <w:rPr>
                <w:rFonts w:ascii="Times New Roman" w:eastAsia="Times New Roman" w:hAnsi="Times New Roman"/>
                <w:b/>
                <w:sz w:val="17"/>
              </w:rPr>
              <w:t xml:space="preserve">Yes</w:t>
            </w:r>
          </w:p>
        </w:tc>
        <w:tc>
          <w:tcPr>
            <w:tcW w:w="5760" w:type="dxa"/>
          </w:tcPr>
          <w:p w:rsidR="00C1003E" w:rsidRDefault="00146776">
            <w:pPr>
              <w:spacing w:after="40"/>
            </w:pPr>
            <w:r>
              <w:rPr>
                <w:rFonts w:ascii="Times New Roman" w:eastAsia="Times New Roman" w:hAnsi="Times New Roman"/>
                <w:sz w:val="17"/>
              </w:rPr>
              <w:t xml:space="preserve">Cliff’s δ and 95 % CI per metric (Table 4), although the effect labels and the abstract’s figures are inconsistent.</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External validation</w:t>
            </w:r>
          </w:p>
        </w:tc>
        <w:tc>
          <w:tcPr>
            <w:tcW w:w="900" w:type="dxa"/>
            <w:shd w:val="clear" w:color="auto" w:fill="F8CBAD"/>
          </w:tcPr>
          <w:p w:rsidR="00C1003E" w:rsidRDefault="00146776">
            <w:pPr>
              <w:spacing w:after="40"/>
            </w:pPr>
            <w:r>
              <w:rPr>
                <w:rFonts w:ascii="Times New Roman" w:eastAsia="Times New Roman" w:hAnsi="Times New Roman"/>
                <w:b/>
                <w:sz w:val="17"/>
              </w:rPr>
              <w:t>No</w:t>
            </w:r>
          </w:p>
        </w:tc>
        <w:tc>
          <w:tcPr>
            <w:tcW w:w="5760" w:type="dxa"/>
          </w:tcPr>
          <w:p w:rsidR="00C1003E" w:rsidRDefault="00146776">
            <w:pPr>
              <w:spacing w:after="40"/>
            </w:pPr>
            <w:r>
              <w:rPr>
                <w:rFonts w:ascii="Times New Roman" w:eastAsia="Times New Roman" w:hAnsi="Times New Roman"/>
                <w:sz w:val="17"/>
              </w:rPr>
              <w:t xml:space="preserve">One organization, four projects, no replication; the authors acknowledge this (Sec. 5.5).</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Compute documented</w:t>
            </w:r>
          </w:p>
        </w:tc>
        <w:tc>
          <w:tcPr>
            <w:tcW w:w="900" w:type="dxa"/>
            <w:shd w:val="clear" w:color="auto" w:fill="FFF2CC"/>
          </w:tcPr>
          <w:p w:rsidR="00C1003E" w:rsidRDefault="00146776">
            <w:pPr>
              <w:spacing w:after="40"/>
            </w:pPr>
            <w:r>
              <w:rPr>
                <w:rFonts w:ascii="Times New Roman" w:eastAsia="Times New Roman" w:hAnsi="Times New Roman"/>
                <w:b/>
                <w:sz w:val="17"/>
              </w:rPr>
              <w:t xml:space="preserve">Partial</w:t>
            </w:r>
          </w:p>
        </w:tc>
        <w:tc>
          <w:tcPr>
            <w:tcW w:w="5760" w:type="dxa"/>
          </w:tcPr>
          <w:p w:rsidR="00C1003E" w:rsidRDefault="00146776">
            <w:pPr>
              <w:spacing w:after="40"/>
            </w:pPr>
            <w:r>
              <w:rPr>
                <w:rFonts w:ascii="Times New Roman" w:eastAsia="Times New Roman" w:hAnsi="Times New Roman"/>
                <w:sz w:val="17"/>
              </w:rPr>
              <w:t xml:space="preserve">Pipeline tools and R 4.3.1; the agent platform, model, and versions are not reported.</w:t>
            </w:r>
          </w:p>
        </w:tc>
      </w:tr>
      <w:tr w:rsidR="00C1003E">
        <w:trPr>
          <w:cantSplit/>
          <w:jc w:val="center"/>
        </w:trPr>
        <w:tc>
          <w:tcPr>
            <w:tcW w:w="2700" w:type="dxa"/>
          </w:tcPr>
          <w:p w:rsidR="00C1003E" w:rsidRDefault="00146776">
            <w:pPr>
              <w:spacing w:after="40"/>
            </w:pPr>
            <w:r>
              <w:rPr>
                <w:rFonts w:ascii="Times New Roman" w:eastAsia="Times New Roman" w:hAnsi="Times New Roman"/>
                <w:sz w:val="17"/>
              </w:rPr>
              <w:t xml:space="preserve">Code and data available</w:t>
            </w:r>
          </w:p>
        </w:tc>
        <w:tc>
          <w:tcPr>
            <w:tcW w:w="900" w:type="dxa"/>
            <w:shd w:val="clear" w:color="auto" w:fill="F8CBAD"/>
          </w:tcPr>
          <w:p w:rsidR="00C1003E" w:rsidRDefault="00146776">
            <w:pPr>
              <w:spacing w:after="40"/>
            </w:pPr>
            <w:r>
              <w:rPr>
                <w:rFonts w:ascii="Times New Roman" w:eastAsia="Times New Roman" w:hAnsi="Times New Roman"/>
                <w:b/>
                <w:sz w:val="17"/>
              </w:rPr>
              <w:t>No</w:t>
            </w:r>
          </w:p>
        </w:tc>
        <w:tc>
          <w:tcPr>
            <w:tcW w:w="5760" w:type="dxa"/>
          </w:tcPr>
          <w:p w:rsidR="00C1003E" w:rsidRDefault="00146776">
            <w:pPr>
              <w:spacing w:after="40"/>
            </w:pPr>
            <w:r>
              <w:rPr>
                <w:rFonts w:ascii="Times New Roman" w:eastAsia="Times New Roman" w:hAnsi="Times New Roman"/>
                <w:sz w:val="17"/>
              </w:rPr>
              <w:t xml:space="preserve">No repository or statement; only aggregate medians (Table 4).</w:t>
            </w:r>
          </w:p>
        </w:tc>
      </w:tr>
    </w:tbl>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Overall Score</w:t>
      </w:r>
    </w:p>
    <w:p w:rsidR="00C1003E" w:rsidRDefault="00146776">
      <w:pPr>
        <w:spacing w:after="120"/>
        <w:jc w:val="both"/>
      </w:pPr>
      <w:r>
        <w:rPr>
          <w:rFonts w:ascii="Times New Roman" w:eastAsia="Times New Roman" w:hAnsi="Times New Roman"/>
          <w:b/>
        </w:rPr>
        <w:t xml:space="preserve">3.5 / 9 (≈ 3.9 / 10): low reproducibility.</w:t>
      </w:r>
      <w:r>
        <w:rPr>
          <w:rFonts w:ascii="Times New Roman" w:eastAsia="Times New Roman" w:hAnsi="Times New Roman"/>
        </w:rPr>
        <w:t xml:space="preserve"> The paper is transparent about its limits, but today a third party could neither replicate it nor verify its figures.</w:t>
      </w:r>
    </w:p>
    <w:p w:rsidR="00C1003E" w:rsidRDefault="00146776">
      <w:pPr>
        <w:spacing w:after="120"/>
        <w:jc w:val="both"/>
      </w:pPr>
      <w:r>
        <w:rPr>
          <w:rFonts w:ascii="Times New Roman" w:eastAsia="Times New Roman" w:hAnsi="Times New Roman"/>
        </w:rPr>
        <w:t xml:space="preserve">Criterion: Yes = 1, Partial = 0.5, No = 0, unweighted (1 + 5 × 0.5 + 0 = 3.5).</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Strengths:</w:t>
      </w:r>
      <w:r>
        <w:rPr>
          <w:rFonts w:ascii="Times New Roman" w:eastAsia="Times New Roman" w:hAnsi="Times New Roman"/>
        </w:rPr>
        <w:t xml:space="preserve"> precisely defined variables (Table 2), an 8-week baseline, nonparametric tests with effect size and confidence intervals, a description of the tool stack, and a candid validity section (Sec. 5.5).</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Weaknesses:</w:t>
      </w:r>
      <w:r>
        <w:rPr>
          <w:rFonts w:ascii="Times New Roman" w:eastAsia="Times New Roman" w:hAnsi="Times New Roman"/>
        </w:rPr>
        <w:t xml:space="preserve"> no code or data, an unidentified agent platform, p-values incompatible with n = 4, figures that do not match between the abstract and the table, and a single organization.</w:t>
      </w:r>
    </w:p>
    <w:p w:rsidR="00C1003E" w:rsidRDefault="00146776">
      <w:pPr>
        <w:spacing w:after="60"/>
        <w:ind w:left="432" w:hanging="216"/>
        <w:jc w:val="both"/>
      </w:pPr>
      <w:r>
        <w:rPr>
          <w:rFonts w:ascii="Times New Roman" w:eastAsia="Times New Roman" w:hAnsi="Times New Roman"/>
        </w:rPr>
        <w:t xml:space="preserve">• </w:t>
      </w:r>
      <w:r>
        <w:rPr>
          <w:rFonts w:ascii="Times New Roman" w:eastAsia="Times New Roman" w:hAnsi="Times New Roman"/>
          <w:b/>
        </w:rPr>
        <w:t xml:space="preserve">Interpretation:</w:t>
      </w:r>
      <w:r>
        <w:rPr>
          <w:rFonts w:ascii="Times New Roman" w:eastAsia="Times New Roman" w:hAnsi="Times New Roman"/>
        </w:rPr>
        <w:t xml:space="preserve"> its conclusions are indicative, as the authors themselves acknowledge; they do not constitute evidence that agentic AI improves performance, still less that governance does.</w:t>
      </w: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Recommendations</w:t>
      </w:r>
    </w:p>
    <w:p w:rsidR="00C1003E" w:rsidRDefault="00146776">
      <w:pPr>
        <w:spacing w:after="80"/>
        <w:ind w:left="432" w:hanging="288"/>
        <w:jc w:val="both"/>
      </w:pPr>
      <w:r>
        <w:rPr>
          <w:rFonts w:ascii="Times New Roman" w:eastAsia="Times New Roman" w:hAnsi="Times New Roman"/>
        </w:rPr>
        <w:t xml:space="preserve">1. </w:t>
      </w:r>
      <w:r>
        <w:rPr>
          <w:rFonts w:ascii="Times New Roman" w:eastAsia="Times New Roman" w:hAnsi="Times New Roman"/>
          <w:b/>
        </w:rPr>
        <w:t xml:space="preserve">Publish data, scripts, and protocol.</w:t>
      </w:r>
      <w:r>
        <w:rPr>
          <w:rFonts w:ascii="Times New Roman" w:eastAsia="Times New Roman" w:hAnsi="Times New Roman"/>
        </w:rPr>
        <w:t xml:space="preserve"> Share anonymized per-project, per-week values, the R script with its seed, and the dates of each window; reconcile the abstract, Table 4, and Figures 5–6 (lead time versus cycle time, MTTR, percentage points); and report all twelve variables or justify the omissions. This improves the code-and-data, repeated-runs, and effect-size items.</w:t>
      </w:r>
    </w:p>
    <w:p w:rsidR="00C1003E" w:rsidRDefault="00146776">
      <w:pPr>
        <w:spacing w:after="80"/>
        <w:ind w:left="432" w:hanging="288"/>
        <w:jc w:val="both"/>
      </w:pPr>
      <w:r>
        <w:rPr>
          <w:rFonts w:ascii="Times New Roman" w:eastAsia="Times New Roman" w:hAnsi="Times New Roman"/>
        </w:rPr>
        <w:t xml:space="preserve">2. </w:t>
      </w:r>
      <w:r>
        <w:rPr>
          <w:rFonts w:ascii="Times New Roman" w:eastAsia="Times New Roman" w:hAnsi="Times New Roman"/>
          <w:b/>
        </w:rPr>
        <w:t xml:space="preserve">Redo the analysis with the correct unit.</w:t>
      </w:r>
      <w:r>
        <w:rPr>
          <w:rFonts w:ascii="Times New Roman" w:eastAsia="Times New Roman" w:hAnsi="Times New Roman"/>
        </w:rPr>
        <w:t xml:space="preserve"> Use an interrupted time series or a mixed-effects model with team as a random effect and weeks as observations, normalize counts per week, extend follow-up beyond 30 days for defects, correct for multiple comparisons, and avoid relying on a signed-rank test with n = 4. This improves the leakage and statistical-test items.</w:t>
      </w:r>
    </w:p>
    <w:p w:rsidR="00C1003E" w:rsidRDefault="00146776">
      <w:pPr>
        <w:spacing w:after="80"/>
        <w:ind w:left="432" w:hanging="288"/>
        <w:jc w:val="both"/>
      </w:pPr>
      <w:bookmarkStart w:id="0" w:name="_GoBack"/>
      <w:bookmarkEnd w:id="0"/>
      <w:r>
        <w:rPr>
          <w:rFonts w:ascii="Times New Roman" w:eastAsia="Times New Roman" w:hAnsi="Times New Roman"/>
        </w:rPr>
        <w:t xml:space="preserve">3. </w:t>
      </w:r>
      <w:r>
        <w:rPr>
          <w:rFonts w:ascii="Times New Roman" w:eastAsia="Times New Roman" w:hAnsi="Times New Roman"/>
          <w:b/>
        </w:rPr>
        <w:t xml:space="preserve">Document the intervention and add a comparison.</w:t>
      </w:r>
      <w:r>
        <w:rPr>
          <w:rFonts w:ascii="Times New Roman" w:eastAsia="Times New Roman" w:hAnsi="Times New Roman"/>
        </w:rPr>
        <w:t xml:space="preserve"> Describe the platform, model, versions, configuration, and policies; include teams without AI or a staggered adoption to separate the effect of the agent, the governance, and novelty; replicate in another organization; and report the review following PRISMA 2020. This improves the compute and external-validation items.</w:t>
      </w:r>
    </w:p>
    <w:p w:rsidR="00C1003E" w:rsidRDefault="00146776">
      <w:pPr>
        <w:keepNext/>
        <w:spacing w:before="160" w:after="80"/>
      </w:pPr>
      <w:r>
        <w:rPr>
          <w:rFonts w:ascii="Times New Roman" w:eastAsia="Times New Roman" w:hAnsi="Times New Roman"/>
          <w:b/>
          <w:sz w:val="24"/>
        </w:rPr>
        <w:t xml:space="preserve">References</w:t>
      </w:r>
    </w:p>
    <w:p w:rsidR="00C1003E" w:rsidRPr="002C130B" w:rsidRDefault="00146776">
      <w:pPr>
        <w:spacing w:after="60"/>
        <w:ind w:left="432" w:hanging="432"/>
        <w:rPr>
          <w:lang w:val="en-US"/>
        </w:rPr>
      </w:pPr>
      <w:r>
        <w:rPr>
          <w:rFonts w:ascii="Times New Roman" w:eastAsia="Times New Roman" w:hAnsi="Times New Roman"/>
          <w:sz w:val="20"/>
        </w:rPr>
        <w:t xml:space="preserve">Alenezi, M., Akour, M., &amp; Al-Omari, O. (2026). </w:t>
      </w:r>
      <w:r>
        <w:rPr>
          <w:rFonts w:ascii="Times New Roman" w:eastAsia="Times New Roman" w:hAnsi="Times New Roman"/>
          <w:sz w:val="20"/>
          <w:lang w:val="en-US"/>
        </w:rPr>
        <w:t xml:space="preserve">Agentic artificial intelligence in software engineering: Integration points, architectural frameworks, empirical evaluation, and governance. </w:t>
      </w:r>
      <w:r>
        <w:rPr>
          <w:rFonts w:ascii="Times New Roman" w:eastAsia="Times New Roman" w:hAnsi="Times New Roman"/>
          <w:i/>
          <w:sz w:val="20"/>
          <w:lang w:val="en-US"/>
        </w:rPr>
        <w:t>International Journal of Technology, 17</w:t>
      </w:r>
      <w:r>
        <w:rPr>
          <w:rFonts w:ascii="Times New Roman" w:eastAsia="Times New Roman" w:hAnsi="Times New Roman"/>
          <w:sz w:val="20"/>
          <w:lang w:val="en-US"/>
        </w:rPr>
        <w:t>(4), 1245–1262. https://doi.org/10.14716/ijtech.v17i4.8380</w:t>
      </w:r>
    </w:p>
    <w:p w:rsidR="00C1003E" w:rsidRDefault="00146776">
      <w:pPr>
        <w:spacing w:after="60"/>
        <w:ind w:left="432" w:hanging="432"/>
      </w:pPr>
      <w:r>
        <w:rPr>
          <w:rFonts w:ascii="Times New Roman" w:eastAsia="Times New Roman" w:hAnsi="Times New Roman"/>
          <w:sz w:val="20"/>
          <w:lang w:val="en-US"/>
        </w:rPr>
        <w:t xml:space="preserve">Page, M. J., McKenzie, J. E., Bossuyt, P. M., et al. (2021). The PRISMA 2020 statement: An updated guideline for reporting systematic reviews. </w:t>
      </w:r>
      <w:r>
        <w:rPr>
          <w:rFonts w:ascii="Times New Roman" w:eastAsia="Times New Roman" w:hAnsi="Times New Roman"/>
          <w:i/>
          <w:sz w:val="20"/>
        </w:rPr>
        <w:t>BMJ, 372</w:t>
      </w:r>
      <w:r>
        <w:rPr>
          <w:rFonts w:ascii="Times New Roman" w:eastAsia="Times New Roman" w:hAnsi="Times New Roman"/>
          <w:sz w:val="20"/>
        </w:rPr>
        <w:t xml:space="preserve">, n71. https://doi.org/10.1136/bmj.n71</w:t>
      </w:r>
    </w:p>
    <w:sectPr w:rsidR="00C1003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5CB014F5"/>
    <w:multiLevelType w:val="hybridMultilevel"/>
    <w:tmpl w:val="39DE7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3"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3"/>
    <w:lvlOverride w:ilvl="0">
      <w:startOverride w:val="1"/>
    </w:lvlOverride>
  </w:num>
  <w:num w:numId="3">
    <w:abstractNumId w:val="12"/>
    <w:lvlOverride w:ilvl="0">
      <w:startOverride w:val="1"/>
    </w:lvlOverride>
  </w:num>
  <w:num w:numId="4">
    <w:abstractNumId w:val="6"/>
    <w:lvlOverride w:ilvl="0">
      <w:startOverride w:val="1"/>
    </w:lvlOverride>
  </w:num>
  <w:num w:numId="5">
    <w:abstractNumId w:val="2"/>
    <w:lvlOverride w:ilvl="0">
      <w:startOverride w:val="1"/>
    </w:lvlOverride>
  </w:num>
  <w:num w:numId="6">
    <w:abstractNumId w:val="13"/>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6EA"/>
    <w:rsid w:val="000444B8"/>
    <w:rsid w:val="00146776"/>
    <w:rsid w:val="001A30C5"/>
    <w:rsid w:val="00286C12"/>
    <w:rsid w:val="00286DB1"/>
    <w:rsid w:val="002C130B"/>
    <w:rsid w:val="00304BB5"/>
    <w:rsid w:val="00350EAE"/>
    <w:rsid w:val="003F0D4F"/>
    <w:rsid w:val="00483897"/>
    <w:rsid w:val="00543D7F"/>
    <w:rsid w:val="005F48E8"/>
    <w:rsid w:val="00694A40"/>
    <w:rsid w:val="007374CC"/>
    <w:rsid w:val="008F7E2F"/>
    <w:rsid w:val="009A5A7C"/>
    <w:rsid w:val="00A11781"/>
    <w:rsid w:val="00A11F70"/>
    <w:rsid w:val="00AB3415"/>
    <w:rsid w:val="00B800AD"/>
    <w:rsid w:val="00B81EE3"/>
    <w:rsid w:val="00C01733"/>
    <w:rsid w:val="00C1003E"/>
    <w:rsid w:val="00DB7200"/>
    <w:rsid w:val="00E476EA"/>
    <w:rsid w:val="00E81FC5"/>
    <w:rsid w:val="00F27056"/>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C132"/>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2024</Words>
  <Characters>11542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PRONABEC</cp:lastModifiedBy>
  <cp:revision>29</cp:revision>
  <dcterms:created xsi:type="dcterms:W3CDTF">2026-09-25T23:18:00Z</dcterms:created>
  <dcterms:modified xsi:type="dcterms:W3CDTF">2026-10-18T02:21:00Z</dcterms:modified>
</cp:coreProperties>
</file>