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D7F" w:rsidRPr="00543D7F" w:rsidRDefault="00543D7F" w:rsidP="00543D7F">
      <w:pPr>
        <w:spacing w:after="200"/>
        <w:jc w:val="center"/>
        <w:rPr>
          <w:rFonts w:ascii="Times New Roman" w:hAnsi="Times New Roman" w:cs="Times New Roman"/>
        </w:rPr>
      </w:pPr>
    </w:p>
    <w:p w:rsidR="00543D7F" w:rsidRPr="00543D7F" w:rsidRDefault="00543D7F" w:rsidP="00543D7F">
      <w:pPr>
        <w:spacing w:before="57" w:line="360" w:lineRule="auto"/>
        <w:ind w:left="307" w:right="308"/>
        <w:jc w:val="center"/>
        <w:rPr>
          <w:rFonts w:ascii="Times New Roman" w:hAnsi="Times New Roman" w:cs="Times New Roman"/>
          <w:b/>
          <w:sz w:val="40"/>
        </w:rPr>
      </w:pPr>
      <w:r w:rsidRPr="00543D7F">
        <w:rPr>
          <w:rFonts w:ascii="Times New Roman" w:hAnsi="Times New Roman" w:cs="Times New Roman"/>
          <w:b/>
          <w:noProof/>
          <w:sz w:val="40"/>
          <w:lang w:val="en-US" w:eastAsia="en-US"/>
        </w:rPr>
        <w:drawing>
          <wp:anchor distT="0" distB="0" distL="0" distR="0" simplePos="0" relativeHeight="251659264" behindDoc="1" locked="0" layoutInCell="1" allowOverlap="1" wp14:anchorId="4D8FBA0F" wp14:editId="1DE19D81">
            <wp:simplePos x="0" y="0"/>
            <wp:positionH relativeFrom="page">
              <wp:posOffset>3190875</wp:posOffset>
            </wp:positionH>
            <wp:positionV relativeFrom="paragraph">
              <wp:posOffset>937767</wp:posOffset>
            </wp:positionV>
            <wp:extent cx="1384950" cy="1613916"/>
            <wp:effectExtent l="0" t="0" r="0" b="0"/>
            <wp:wrapTopAndBottom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950" cy="1613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D7F">
        <w:rPr>
          <w:rFonts w:ascii="Times New Roman" w:hAnsi="Times New Roman" w:cs="Times New Roman"/>
          <w:b/>
          <w:sz w:val="40"/>
        </w:rPr>
        <w:t>UNIVERSIDAD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NACIONAL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MAYOR</w:t>
      </w:r>
      <w:r w:rsidRPr="00543D7F">
        <w:rPr>
          <w:rFonts w:ascii="Times New Roman" w:hAnsi="Times New Roman" w:cs="Times New Roman"/>
          <w:b/>
          <w:spacing w:val="-12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>DE</w:t>
      </w:r>
      <w:r w:rsidRPr="00543D7F">
        <w:rPr>
          <w:rFonts w:ascii="Times New Roman" w:hAnsi="Times New Roman" w:cs="Times New Roman"/>
          <w:b/>
          <w:spacing w:val="-10"/>
          <w:sz w:val="40"/>
        </w:rPr>
        <w:t xml:space="preserve"> </w:t>
      </w:r>
      <w:r w:rsidRPr="00543D7F">
        <w:rPr>
          <w:rFonts w:ascii="Times New Roman" w:hAnsi="Times New Roman" w:cs="Times New Roman"/>
          <w:b/>
          <w:sz w:val="40"/>
        </w:rPr>
        <w:t xml:space="preserve">SAN </w:t>
      </w:r>
      <w:r w:rsidRPr="00543D7F">
        <w:rPr>
          <w:rFonts w:ascii="Times New Roman" w:hAnsi="Times New Roman" w:cs="Times New Roman"/>
          <w:b/>
          <w:spacing w:val="-2"/>
          <w:sz w:val="40"/>
        </w:rPr>
        <w:t>MARCOS</w:t>
      </w:r>
    </w:p>
    <w:p w:rsidR="00543D7F" w:rsidRPr="001A30C5" w:rsidRDefault="00543D7F" w:rsidP="00543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r w:rsidRPr="001A30C5">
        <w:rPr>
          <w:rFonts w:ascii="Times New Roman" w:hAnsi="Times New Roman" w:cs="Times New Roman"/>
          <w:color w:val="auto"/>
          <w:lang w:val="en-US"/>
        </w:rPr>
        <w:t>Doctoral</w:t>
      </w:r>
      <w:r w:rsidRPr="001A30C5">
        <w:rPr>
          <w:rFonts w:ascii="Times New Roman" w:hAnsi="Times New Roman" w:cs="Times New Roman"/>
          <w:color w:val="auto"/>
          <w:spacing w:val="-7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Program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in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Deep</w:t>
      </w:r>
      <w:r w:rsidRPr="001A30C5">
        <w:rPr>
          <w:rFonts w:ascii="Times New Roman" w:hAnsi="Times New Roman" w:cs="Times New Roman"/>
          <w:color w:val="auto"/>
          <w:spacing w:val="-9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Tech,</w:t>
      </w:r>
      <w:r w:rsidRPr="001A30C5">
        <w:rPr>
          <w:rFonts w:ascii="Times New Roman" w:hAnsi="Times New Roman" w:cs="Times New Roman"/>
          <w:color w:val="auto"/>
          <w:spacing w:val="-8"/>
          <w:lang w:val="en-US"/>
        </w:rPr>
        <w:t xml:space="preserve"> </w:t>
      </w:r>
      <w:r w:rsidRPr="001A30C5">
        <w:rPr>
          <w:rFonts w:ascii="Times New Roman" w:hAnsi="Times New Roman" w:cs="Times New Roman"/>
          <w:color w:val="auto"/>
          <w:lang w:val="en-US"/>
        </w:rPr>
        <w:t>Artificial Intelligence &amp; Emerging Technologies</w:t>
      </w:r>
    </w:p>
    <w:p w:rsidR="00543D7F" w:rsidRPr="00543D7F" w:rsidRDefault="00543D7F" w:rsidP="00543D7F">
      <w:pPr>
        <w:pStyle w:val="Textoindependiente"/>
        <w:spacing w:before="104"/>
        <w:jc w:val="center"/>
        <w:rPr>
          <w:b/>
          <w:sz w:val="48"/>
        </w:rPr>
      </w:pPr>
    </w:p>
    <w:p w:rsidR="00543D7F" w:rsidRPr="001A30C5" w:rsidRDefault="00543D7F" w:rsidP="00543D7F">
      <w:pPr>
        <w:spacing w:line="360" w:lineRule="auto"/>
        <w:ind w:left="307" w:right="308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1A30C5">
        <w:rPr>
          <w:rFonts w:ascii="Times New Roman" w:hAnsi="Times New Roman" w:cs="Times New Roman"/>
          <w:b/>
          <w:sz w:val="40"/>
          <w:lang w:val="en-US"/>
        </w:rPr>
        <w:t>Research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Methods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and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Scientific</w:t>
      </w:r>
      <w:r w:rsidRPr="001A30C5">
        <w:rPr>
          <w:rFonts w:ascii="Times New Roman" w:hAnsi="Times New Roman" w:cs="Times New Roman"/>
          <w:b/>
          <w:spacing w:val="-7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Integrity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in</w:t>
      </w:r>
      <w:r w:rsidRPr="001A30C5">
        <w:rPr>
          <w:rFonts w:ascii="Times New Roman" w:hAnsi="Times New Roman" w:cs="Times New Roman"/>
          <w:b/>
          <w:spacing w:val="-5"/>
          <w:sz w:val="40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z w:val="40"/>
          <w:lang w:val="en-US"/>
        </w:rPr>
        <w:t>AI and Advanced Technologies</w:t>
      </w:r>
    </w:p>
    <w:p w:rsidR="00543D7F" w:rsidRPr="001A30C5" w:rsidRDefault="002C130B" w:rsidP="00543D7F">
      <w:pPr>
        <w:spacing w:before="381" w:line="391" w:lineRule="auto"/>
        <w:ind w:right="4"/>
        <w:jc w:val="center"/>
        <w:rPr>
          <w:rFonts w:ascii="Times New Roman" w:hAnsi="Times New Roman" w:cs="Times New Roman"/>
          <w:b/>
          <w:sz w:val="27"/>
          <w:lang w:val="en-US"/>
        </w:rPr>
      </w:pPr>
      <w:r>
        <w:rPr>
          <w:rFonts w:ascii="Times New Roman" w:hAnsi="Times New Roman" w:cs="Times New Roman"/>
          <w:b/>
          <w:sz w:val="27"/>
          <w:lang w:val="en-US"/>
        </w:rPr>
        <w:t>DELIVERABLE No. 6</w:t>
      </w:r>
      <w:r w:rsidR="00543D7F" w:rsidRPr="001A30C5">
        <w:rPr>
          <w:rFonts w:ascii="Times New Roman" w:hAnsi="Times New Roman" w:cs="Times New Roman"/>
          <w:b/>
          <w:sz w:val="27"/>
          <w:lang w:val="en-US"/>
        </w:rPr>
        <w:t>: Reproducibility Audit of a Published Paper</w:t>
      </w:r>
    </w:p>
    <w:p w:rsidR="00543D7F" w:rsidRPr="00543D7F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543D7F" w:rsidRDefault="00543D7F" w:rsidP="00543D7F">
      <w:pPr>
        <w:pStyle w:val="Textoindependiente"/>
        <w:spacing w:before="131"/>
        <w:jc w:val="center"/>
        <w:rPr>
          <w:b/>
          <w:sz w:val="27"/>
        </w:rPr>
      </w:pPr>
    </w:p>
    <w:p w:rsidR="00543D7F" w:rsidRPr="001A30C5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1A30C5">
        <w:rPr>
          <w:rFonts w:ascii="Times New Roman" w:hAnsi="Times New Roman" w:cs="Times New Roman"/>
          <w:b/>
          <w:sz w:val="27"/>
          <w:lang w:val="en-US"/>
        </w:rPr>
        <w:t>Course</w:t>
      </w:r>
      <w:r w:rsidRPr="001A30C5">
        <w:rPr>
          <w:rFonts w:ascii="Times New Roman" w:hAnsi="Times New Roman" w:cs="Times New Roman"/>
          <w:b/>
          <w:spacing w:val="-3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2"/>
          <w:sz w:val="27"/>
          <w:lang w:val="en-US"/>
        </w:rPr>
        <w:t>Instructor</w:t>
      </w:r>
      <w:r w:rsidRPr="001A30C5">
        <w:rPr>
          <w:rFonts w:ascii="Times New Roman" w:hAnsi="Times New Roman" w:cs="Times New Roman"/>
          <w:b/>
          <w:sz w:val="27"/>
          <w:lang w:val="en-US"/>
        </w:rPr>
        <w:t>: Dr.</w:t>
      </w:r>
      <w:r w:rsidRPr="001A30C5">
        <w:rPr>
          <w:rFonts w:ascii="Times New Roman" w:hAnsi="Times New Roman" w:cs="Times New Roman"/>
          <w:b/>
          <w:spacing w:val="-5"/>
          <w:sz w:val="27"/>
          <w:lang w:val="en-US"/>
        </w:rPr>
        <w:t xml:space="preserve"> </w:t>
      </w:r>
      <w:proofErr w:type="spellStart"/>
      <w:r w:rsidRPr="001A30C5">
        <w:rPr>
          <w:rFonts w:ascii="Times New Roman" w:hAnsi="Times New Roman" w:cs="Times New Roman"/>
          <w:b/>
          <w:sz w:val="27"/>
          <w:lang w:val="en-US"/>
        </w:rPr>
        <w:t>Loveleen</w:t>
      </w:r>
      <w:proofErr w:type="spellEnd"/>
      <w:r w:rsidRPr="001A30C5">
        <w:rPr>
          <w:rFonts w:ascii="Times New Roman" w:hAnsi="Times New Roman" w:cs="Times New Roman"/>
          <w:b/>
          <w:spacing w:val="-6"/>
          <w:sz w:val="27"/>
          <w:lang w:val="en-US"/>
        </w:rPr>
        <w:t xml:space="preserve"> </w:t>
      </w:r>
      <w:r w:rsidRPr="001A30C5">
        <w:rPr>
          <w:rFonts w:ascii="Times New Roman" w:hAnsi="Times New Roman" w:cs="Times New Roman"/>
          <w:b/>
          <w:spacing w:val="-4"/>
          <w:sz w:val="27"/>
          <w:lang w:val="en-US"/>
        </w:rPr>
        <w:t>Gaur</w:t>
      </w:r>
    </w:p>
    <w:p w:rsidR="00543D7F" w:rsidRPr="00543D7F" w:rsidRDefault="00543D7F" w:rsidP="00543D7F">
      <w:pPr>
        <w:pStyle w:val="Textoindependiente"/>
        <w:spacing w:before="133"/>
        <w:jc w:val="center"/>
        <w:rPr>
          <w:b/>
          <w:sz w:val="27"/>
        </w:rPr>
      </w:pPr>
    </w:p>
    <w:p w:rsidR="00543D7F" w:rsidRPr="002C130B" w:rsidRDefault="00543D7F" w:rsidP="00543D7F">
      <w:pPr>
        <w:tabs>
          <w:tab w:val="left" w:pos="3204"/>
        </w:tabs>
        <w:ind w:left="530"/>
        <w:jc w:val="center"/>
        <w:rPr>
          <w:rFonts w:ascii="Times New Roman" w:hAnsi="Times New Roman" w:cs="Times New Roman"/>
          <w:b/>
          <w:sz w:val="27"/>
          <w:lang w:val="en-US"/>
        </w:rPr>
      </w:pPr>
      <w:r w:rsidRPr="002C130B">
        <w:rPr>
          <w:rFonts w:ascii="Times New Roman" w:hAnsi="Times New Roman" w:cs="Times New Roman"/>
          <w:b/>
          <w:spacing w:val="-2"/>
          <w:sz w:val="27"/>
          <w:lang w:val="en-US"/>
        </w:rPr>
        <w:t>Student:</w:t>
      </w:r>
      <w:r w:rsidRPr="002C130B">
        <w:rPr>
          <w:rFonts w:ascii="Times New Roman" w:hAnsi="Times New Roman" w:cs="Times New Roman"/>
          <w:b/>
          <w:sz w:val="27"/>
          <w:lang w:val="en-US"/>
        </w:rPr>
        <w:t xml:space="preserve"> Félix </w:t>
      </w:r>
      <w:proofErr w:type="spellStart"/>
      <w:r w:rsidRPr="002C130B">
        <w:rPr>
          <w:rFonts w:ascii="Times New Roman" w:hAnsi="Times New Roman" w:cs="Times New Roman"/>
          <w:b/>
          <w:sz w:val="27"/>
          <w:lang w:val="en-US"/>
        </w:rPr>
        <w:t>Richar</w:t>
      </w:r>
      <w:proofErr w:type="spellEnd"/>
      <w:r w:rsidRPr="002C130B">
        <w:rPr>
          <w:rFonts w:ascii="Times New Roman" w:hAnsi="Times New Roman" w:cs="Times New Roman"/>
          <w:b/>
          <w:sz w:val="27"/>
          <w:lang w:val="en-US"/>
        </w:rPr>
        <w:t xml:space="preserve"> Mendoza </w:t>
      </w:r>
      <w:proofErr w:type="spellStart"/>
      <w:r w:rsidRPr="002C130B">
        <w:rPr>
          <w:rFonts w:ascii="Times New Roman" w:hAnsi="Times New Roman" w:cs="Times New Roman"/>
          <w:b/>
          <w:sz w:val="27"/>
          <w:lang w:val="en-US"/>
        </w:rPr>
        <w:t>Pumacahua</w:t>
      </w:r>
      <w:proofErr w:type="spellEnd"/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jc w:val="center"/>
        <w:rPr>
          <w:b/>
          <w:sz w:val="27"/>
        </w:rPr>
      </w:pPr>
    </w:p>
    <w:p w:rsidR="00543D7F" w:rsidRPr="002C130B" w:rsidRDefault="00543D7F" w:rsidP="00543D7F">
      <w:pPr>
        <w:pStyle w:val="Textoindependiente"/>
        <w:spacing w:before="270"/>
        <w:jc w:val="center"/>
        <w:rPr>
          <w:b/>
          <w:sz w:val="27"/>
        </w:rPr>
      </w:pPr>
    </w:p>
    <w:p w:rsidR="00543D7F" w:rsidRPr="00543D7F" w:rsidRDefault="00543D7F" w:rsidP="00543D7F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543D7F">
        <w:rPr>
          <w:rFonts w:ascii="Times New Roman" w:hAnsi="Times New Roman" w:cs="Times New Roman"/>
          <w:color w:val="auto"/>
        </w:rPr>
        <w:t>2026</w:t>
      </w:r>
      <w:r w:rsidRPr="00543D7F">
        <w:rPr>
          <w:rFonts w:ascii="Times New Roman" w:hAnsi="Times New Roman" w:cs="Times New Roman"/>
          <w:color w:val="auto"/>
          <w:spacing w:val="-2"/>
        </w:rPr>
        <w:t xml:space="preserve"> </w:t>
      </w:r>
      <w:r w:rsidRPr="00543D7F">
        <w:rPr>
          <w:rFonts w:ascii="Times New Roman" w:hAnsi="Times New Roman" w:cs="Times New Roman"/>
          <w:color w:val="auto"/>
        </w:rPr>
        <w:t>-</w:t>
      </w:r>
      <w:r w:rsidRPr="00543D7F">
        <w:rPr>
          <w:rFonts w:ascii="Times New Roman" w:hAnsi="Times New Roman" w:cs="Times New Roman"/>
          <w:color w:val="auto"/>
          <w:spacing w:val="-1"/>
        </w:rPr>
        <w:t xml:space="preserve"> </w:t>
      </w:r>
      <w:r w:rsidRPr="00543D7F">
        <w:rPr>
          <w:rFonts w:ascii="Times New Roman" w:hAnsi="Times New Roman" w:cs="Times New Roman"/>
          <w:color w:val="auto"/>
          <w:spacing w:val="-5"/>
        </w:rPr>
        <w:t>II</w:t>
      </w:r>
    </w:p>
    <w:p w:rsidR="00543D7F" w:rsidRDefault="00543D7F">
      <w:pPr>
        <w:spacing w:after="200"/>
        <w:jc w:val="center"/>
      </w:pPr>
    </w:p>
    <w:p w:rsidR="00543D7F" w:rsidRDefault="00543D7F">
      <w:r>
        <w:br w:type="page"/>
      </w:r>
    </w:p>
    <w:p w:rsidR="00C01733" w:rsidRPr="00C01733" w:rsidRDefault="00C01733" w:rsidP="00C01733">
      <w:pPr>
        <w:pStyle w:val="Ttulo1"/>
        <w:spacing w:before="400" w:after="20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Reproducibility Audit Report</w:t>
      </w:r>
    </w:p>
    <w:p w:rsidR="00C1003E" w:rsidRDefault="00146776">
      <w:pPr>
        <w:spacing w:after="120"/>
      </w:pPr>
      <w:r>
        <w:rPr>
          <w:rFonts w:ascii="Times New Roman" w:eastAsia="Times New Roman" w:hAnsi="Times New Roman"/>
          <w:i/>
        </w:rPr>
        <w:t>Auditoría de reproducibilidad de un artículo publicado</w:t>
      </w:r>
    </w:p>
    <w:p w:rsidR="00C1003E" w:rsidRPr="002C130B" w:rsidRDefault="00146776">
      <w:pPr>
        <w:spacing w:after="120"/>
        <w:jc w:val="both"/>
        <w:rPr>
          <w:lang w:val="en-US"/>
        </w:rPr>
      </w:pPr>
      <w:r>
        <w:rPr>
          <w:rFonts w:ascii="Times New Roman" w:eastAsia="Times New Roman" w:hAnsi="Times New Roman"/>
          <w:b/>
        </w:rPr>
        <w:t>Artículo auditado:</w:t>
      </w:r>
      <w:r>
        <w:rPr>
          <w:rFonts w:ascii="Times New Roman" w:eastAsia="Times New Roman" w:hAnsi="Times New Roman"/>
        </w:rPr>
        <w:t xml:space="preserve"> Alenezi, M., Akour, M., &amp; Al-Omari, O. (2026). </w:t>
      </w:r>
      <w:r w:rsidRPr="002C130B">
        <w:rPr>
          <w:rFonts w:ascii="Times New Roman" w:eastAsia="Times New Roman" w:hAnsi="Times New Roman"/>
          <w:lang w:val="en-US"/>
        </w:rPr>
        <w:t xml:space="preserve">Agentic artificial intelligence in software engineering: Integration points, architectural frameworks, empirical evaluation, and governance. </w:t>
      </w:r>
      <w:r w:rsidRPr="002C130B">
        <w:rPr>
          <w:rFonts w:ascii="Times New Roman" w:eastAsia="Times New Roman" w:hAnsi="Times New Roman"/>
          <w:i/>
          <w:lang w:val="en-US"/>
        </w:rPr>
        <w:t>International Journal of Technology, 17</w:t>
      </w:r>
      <w:r w:rsidRPr="002C130B">
        <w:rPr>
          <w:rFonts w:ascii="Times New Roman" w:eastAsia="Times New Roman" w:hAnsi="Times New Roman"/>
          <w:lang w:val="en-US"/>
        </w:rPr>
        <w:t>(4), 1245–1262. https://doi.</w:t>
      </w:r>
      <w:r w:rsidRPr="002C130B">
        <w:rPr>
          <w:rFonts w:ascii="Times New Roman" w:eastAsia="Times New Roman" w:hAnsi="Times New Roman"/>
          <w:lang w:val="en-US"/>
        </w:rPr>
        <w:t>org/10.14716/ijtech.v17i4.8380</w:t>
      </w:r>
    </w:p>
    <w:p w:rsidR="00C1003E" w:rsidRDefault="00146776">
      <w:pPr>
        <w:spacing w:after="120"/>
        <w:jc w:val="both"/>
      </w:pPr>
      <w:proofErr w:type="spellStart"/>
      <w:r w:rsidRPr="002C130B">
        <w:rPr>
          <w:rFonts w:ascii="Times New Roman" w:eastAsia="Times New Roman" w:hAnsi="Times New Roman"/>
          <w:b/>
          <w:lang w:val="en-US"/>
        </w:rPr>
        <w:t>Puntaje</w:t>
      </w:r>
      <w:proofErr w:type="spellEnd"/>
      <w:r w:rsidRPr="002C130B">
        <w:rPr>
          <w:rFonts w:ascii="Times New Roman" w:eastAsia="Times New Roman" w:hAnsi="Times New Roman"/>
          <w:b/>
          <w:lang w:val="en-US"/>
        </w:rPr>
        <w:t xml:space="preserve"> global:</w:t>
      </w:r>
      <w:r w:rsidRPr="002C130B">
        <w:rPr>
          <w:rFonts w:ascii="Times New Roman" w:eastAsia="Times New Roman" w:hAnsi="Times New Roman"/>
          <w:lang w:val="en-US"/>
        </w:rPr>
        <w:t xml:space="preserve"> 3.5 / 9 (≈ 3.9 / 10), </w:t>
      </w:r>
      <w:proofErr w:type="spellStart"/>
      <w:r w:rsidRPr="002C130B">
        <w:rPr>
          <w:rFonts w:ascii="Times New Roman" w:eastAsia="Times New Roman" w:hAnsi="Times New Roman"/>
          <w:lang w:val="en-US"/>
        </w:rPr>
        <w:t>reproducibilidad</w:t>
      </w:r>
      <w:proofErr w:type="spellEnd"/>
      <w:r w:rsidRPr="002C130B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2C130B">
        <w:rPr>
          <w:rFonts w:ascii="Times New Roman" w:eastAsia="Times New Roman" w:hAnsi="Times New Roman"/>
          <w:lang w:val="en-US"/>
        </w:rPr>
        <w:t>baja</w:t>
      </w:r>
      <w:proofErr w:type="spellEnd"/>
      <w:r w:rsidRPr="002C130B">
        <w:rPr>
          <w:rFonts w:ascii="Times New Roman" w:eastAsia="Times New Roman" w:hAnsi="Times New Roman"/>
          <w:lang w:val="en-US"/>
        </w:rPr>
        <w:t xml:space="preserve">. </w:t>
      </w:r>
      <w:r>
        <w:rPr>
          <w:rFonts w:ascii="Times New Roman" w:eastAsia="Times New Roman" w:hAnsi="Times New Roman"/>
        </w:rPr>
        <w:t xml:space="preserve">La lista usada es la </w:t>
      </w:r>
      <w:r>
        <w:rPr>
          <w:rFonts w:ascii="Times New Roman" w:eastAsia="Times New Roman" w:hAnsi="Times New Roman"/>
          <w:i/>
        </w:rPr>
        <w:t>Reproducibility Scorecard</w:t>
      </w:r>
      <w:r>
        <w:rPr>
          <w:rFonts w:ascii="Times New Roman" w:eastAsia="Times New Roman" w:hAnsi="Times New Roman"/>
        </w:rPr>
        <w:t xml:space="preserve"> del curso (Sí / Parcial / No); los ítems de aprendizaje automático se adaptaron al diseño cuasi-experimental del artí</w:t>
      </w:r>
      <w:r>
        <w:rPr>
          <w:rFonts w:ascii="Times New Roman" w:eastAsia="Times New Roman" w:hAnsi="Times New Roman"/>
        </w:rPr>
        <w:t>culo.</w:t>
      </w: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Metadatos del artículo / Paper metadata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Alenezi et al. (2026) combinan una revisión sistemática de 34 estudios con un cuasi-experimento antes/después en 4 equipos de una empresa; es auditable, pero con N = 4.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1003E">
        <w:trPr>
          <w:tblHeader/>
          <w:jc w:val="center"/>
        </w:trPr>
        <w:tc>
          <w:tcPr>
            <w:tcW w:w="22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Campo</w:t>
            </w:r>
          </w:p>
        </w:tc>
        <w:tc>
          <w:tcPr>
            <w:tcW w:w="716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Detalle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Cita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Alenezi, M., Akour, M., &amp; Al-Omari, O. (2026). </w:t>
            </w:r>
            <w:r>
              <w:rPr>
                <w:rFonts w:ascii="Times New Roman" w:eastAsia="Times New Roman" w:hAnsi="Times New Roman"/>
                <w:i/>
                <w:sz w:val="17"/>
              </w:rPr>
              <w:t>International Journal of Technology, 17</w:t>
            </w:r>
            <w:r>
              <w:rPr>
                <w:rFonts w:ascii="Times New Roman" w:eastAsia="Times New Roman" w:hAnsi="Times New Roman"/>
                <w:sz w:val="17"/>
              </w:rPr>
              <w:t>(4), 1245–1262.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DOI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https://doi.org/10.14716/ijtech.v17i4.8380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Tipo y fechas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Research Article; recibido ene 2026, revisado feb 2026, aceptado may 2026.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Afiliaciones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 xml:space="preserve">Saudi Data &amp; AI Authority; Univ. </w:t>
            </w:r>
            <w:r>
              <w:rPr>
                <w:rFonts w:ascii="Times New Roman" w:eastAsia="Times New Roman" w:hAnsi="Times New Roman"/>
                <w:sz w:val="17"/>
              </w:rPr>
              <w:t xml:space="preserve">Al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Yamamah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; Prince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Sultan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Univ. (Riad).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Preguntas de investigación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(1) Qué fases del SDLC dan más beneficio; (2) qué patrones de arquitectura y gobernanza permiten un despliegue seguro; (3) impacto medible en calidad, prod</w:t>
            </w:r>
            <w:r>
              <w:rPr>
                <w:rFonts w:ascii="Times New Roman" w:eastAsia="Times New Roman" w:hAnsi="Times New Roman"/>
                <w:sz w:val="17"/>
              </w:rPr>
              <w:t>uctividad y confiabilidad; (4) comparación con la línea base sin IA.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Diseño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Revisión sistemática (2024–2025, 34 estudios) + estudio cuasi-experimental multi-caso pre/post, abr–sep 2025.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Resultado principal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Reducción de lead/cycle time 40–55 %, MTTR 33–48</w:t>
            </w:r>
            <w:r>
              <w:rPr>
                <w:rFonts w:ascii="Times New Roman" w:eastAsia="Times New Roman" w:hAnsi="Times New Roman"/>
                <w:sz w:val="17"/>
              </w:rPr>
              <w:t xml:space="preserve"> %, más cobertura de pruebas, menos fallos de cambio, sin brechas de cumplimiento.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Limitaciones declaradas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Muestra pequeña, una sola organización, sin aleatorización, 12 semanas de observación.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Financiamiento, conflictos, IA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APC pagado por Prince Sultan </w:t>
            </w:r>
            <w:r>
              <w:rPr>
                <w:rFonts w:ascii="Times New Roman" w:eastAsia="Times New Roman" w:hAnsi="Times New Roman"/>
                <w:sz w:val="17"/>
              </w:rPr>
              <w:t>University; sin conflictos; declaran no haber usado IA para texto, resultados ni estadística.</w:t>
            </w:r>
          </w:p>
        </w:tc>
      </w:tr>
      <w:tr w:rsidR="00C1003E">
        <w:trPr>
          <w:cantSplit/>
          <w:jc w:val="center"/>
        </w:trPr>
        <w:tc>
          <w:tcPr>
            <w:tcW w:w="22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Código y datos</w:t>
            </w:r>
          </w:p>
        </w:tc>
        <w:tc>
          <w:tcPr>
            <w:tcW w:w="7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Sin declaración de disponibilidad.</w:t>
            </w:r>
          </w:p>
        </w:tc>
      </w:tr>
    </w:tbl>
    <w:p w:rsidR="00C1003E" w:rsidRDefault="00C1003E">
      <w:pPr>
        <w:spacing w:after="60"/>
      </w:pP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Diseño experimental / Experimental setup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Es un diseño intra-equipo antes/después: 8 semanas de línea base y 12 de tratamiento en 4 equipos, sin grupo de control ni aleatorización (Sec. 3.4).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700"/>
        <w:gridCol w:w="3400"/>
        <w:gridCol w:w="3360"/>
      </w:tblGrid>
      <w:tr w:rsidR="00C1003E">
        <w:trPr>
          <w:tblHeader/>
          <w:jc w:val="center"/>
        </w:trPr>
        <w:tc>
          <w:tcPr>
            <w:tcW w:w="19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Proyecto</w:t>
            </w:r>
          </w:p>
        </w:tc>
        <w:tc>
          <w:tcPr>
            <w:tcW w:w="7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Equipo</w:t>
            </w:r>
          </w:p>
        </w:tc>
        <w:tc>
          <w:tcPr>
            <w:tcW w:w="34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Base de código y stack</w:t>
            </w:r>
          </w:p>
        </w:tc>
        <w:tc>
          <w:tcPr>
            <w:tcW w:w="336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Función del agente (riesgo)</w:t>
            </w:r>
          </w:p>
        </w:tc>
      </w:tr>
      <w:tr w:rsidR="00C1003E">
        <w:trPr>
          <w:cantSplit/>
          <w:jc w:val="center"/>
        </w:trPr>
        <w:tc>
          <w:tcPr>
            <w:tcW w:w="19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A. Banca (API)</w:t>
            </w:r>
          </w:p>
        </w:tc>
        <w:tc>
          <w:tcPr>
            <w:tcW w:w="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11</w:t>
            </w:r>
          </w:p>
        </w:tc>
        <w:tc>
          <w:tcPr>
            <w:tcW w:w="3400" w:type="dxa"/>
          </w:tcPr>
          <w:p w:rsidR="00C1003E" w:rsidRPr="002C130B" w:rsidRDefault="00146776">
            <w:pPr>
              <w:spacing w:after="40"/>
              <w:rPr>
                <w:lang w:val="en-US"/>
              </w:rPr>
            </w:pPr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2.1 M LOC; Java, Spring, Kubernetes</w:t>
            </w:r>
          </w:p>
        </w:tc>
        <w:tc>
          <w:tcPr>
            <w:tcW w:w="33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Código,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refactor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>, pruebas (alto, PII)</w:t>
            </w:r>
          </w:p>
        </w:tc>
      </w:tr>
      <w:tr w:rsidR="00C1003E">
        <w:trPr>
          <w:cantSplit/>
          <w:jc w:val="center"/>
        </w:trPr>
        <w:tc>
          <w:tcPr>
            <w:tcW w:w="19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B. Salud (reclamos)</w:t>
            </w:r>
          </w:p>
        </w:tc>
        <w:tc>
          <w:tcPr>
            <w:tcW w:w="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9</w:t>
            </w:r>
          </w:p>
        </w:tc>
        <w:tc>
          <w:tcPr>
            <w:tcW w:w="3400" w:type="dxa"/>
          </w:tcPr>
          <w:p w:rsidR="00C1003E" w:rsidRPr="002C130B" w:rsidRDefault="00146776">
            <w:pPr>
              <w:spacing w:after="40"/>
              <w:rPr>
                <w:lang w:val="en-US"/>
              </w:rPr>
            </w:pPr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 xml:space="preserve">~850 K LOC; Python, </w:t>
            </w:r>
            <w:proofErr w:type="spellStart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FastAPI</w:t>
            </w:r>
            <w:proofErr w:type="spellEnd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, FHIR</w:t>
            </w:r>
          </w:p>
        </w:tc>
        <w:tc>
          <w:tcPr>
            <w:tcW w:w="33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Síntesis de pruebas, cumplimiento (alto, PHI)</w:t>
            </w:r>
          </w:p>
        </w:tc>
      </w:tr>
      <w:tr w:rsidR="00C1003E">
        <w:trPr>
          <w:cantSplit/>
          <w:jc w:val="center"/>
        </w:trPr>
        <w:tc>
          <w:tcPr>
            <w:tcW w:w="19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C. Analítica</w:t>
            </w:r>
          </w:p>
        </w:tc>
        <w:tc>
          <w:tcPr>
            <w:tcW w:w="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12</w:t>
            </w:r>
          </w:p>
        </w:tc>
        <w:tc>
          <w:tcPr>
            <w:tcW w:w="3400" w:type="dxa"/>
          </w:tcPr>
          <w:p w:rsidR="00C1003E" w:rsidRPr="002C130B" w:rsidRDefault="00146776">
            <w:pPr>
              <w:spacing w:after="40"/>
              <w:rPr>
                <w:lang w:val="en-US"/>
              </w:rPr>
            </w:pPr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1.3 M LOC; Scala, Spark, Airflow</w:t>
            </w:r>
          </w:p>
        </w:tc>
        <w:tc>
          <w:tcPr>
            <w:tcW w:w="33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Migración ETL, documentación (medio)</w:t>
            </w:r>
          </w:p>
        </w:tc>
      </w:tr>
      <w:tr w:rsidR="00C1003E">
        <w:trPr>
          <w:cantSplit/>
          <w:jc w:val="center"/>
        </w:trPr>
        <w:tc>
          <w:tcPr>
            <w:tcW w:w="19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D. Ingeniería de plataforma</w:t>
            </w:r>
          </w:p>
        </w:tc>
        <w:tc>
          <w:tcPr>
            <w:tcW w:w="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10</w:t>
            </w:r>
          </w:p>
        </w:tc>
        <w:tc>
          <w:tcPr>
            <w:tcW w:w="3400" w:type="dxa"/>
          </w:tcPr>
          <w:p w:rsidR="00C1003E" w:rsidRPr="002C130B" w:rsidRDefault="00146776">
            <w:pPr>
              <w:spacing w:after="40"/>
              <w:rPr>
                <w:lang w:val="en-US"/>
              </w:rPr>
            </w:pPr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~650 K LOC; Go, Terraform, Prometheus</w:t>
            </w:r>
          </w:p>
        </w:tc>
        <w:tc>
          <w:tcPr>
            <w:tcW w:w="3360" w:type="dxa"/>
          </w:tcPr>
          <w:p w:rsidR="00C1003E" w:rsidRDefault="00146776">
            <w:pPr>
              <w:spacing w:after="40"/>
            </w:pPr>
            <w:proofErr w:type="spellStart"/>
            <w:r>
              <w:rPr>
                <w:rFonts w:ascii="Times New Roman" w:eastAsia="Times New Roman" w:hAnsi="Times New Roman"/>
                <w:sz w:val="17"/>
              </w:rPr>
              <w:t>Triaje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de incidentes, remediación (medio)</w:t>
            </w:r>
          </w:p>
        </w:tc>
      </w:tr>
    </w:tbl>
    <w:p w:rsidR="00C1003E" w:rsidRDefault="00C1003E">
      <w:pPr>
        <w:spacing w:after="60"/>
      </w:pP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Intervención:</w:t>
      </w:r>
      <w:r>
        <w:rPr>
          <w:rFonts w:ascii="Times New Roman" w:eastAsia="Times New Roman" w:hAnsi="Times New Roman"/>
        </w:rPr>
        <w:t xml:space="preserve"> una plataforma multiagente común (planificación, código con RAG, pruebas, revisión, CI/CD, cumplimiento, observabilidad) integrada con Jira, GitLab, JUnit/pytest, SonarQube/ZAP, Terraform, Prometheus/Grafana y Open Policy Agent. No se nombra el producto n</w:t>
      </w:r>
      <w:r>
        <w:rPr>
          <w:rFonts w:ascii="Times New Roman" w:eastAsia="Times New Roman" w:hAnsi="Times New Roman"/>
        </w:rPr>
        <w:t>i el modelo.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lastRenderedPageBreak/>
        <w:t xml:space="preserve">• </w:t>
      </w:r>
      <w:r>
        <w:rPr>
          <w:rFonts w:ascii="Times New Roman" w:eastAsia="Times New Roman" w:hAnsi="Times New Roman"/>
          <w:b/>
        </w:rPr>
        <w:t>Variables:</w:t>
      </w:r>
      <w:r>
        <w:rPr>
          <w:rFonts w:ascii="Times New Roman" w:eastAsia="Times New Roman" w:hAnsi="Times New Roman"/>
        </w:rPr>
        <w:t xml:space="preserve"> 12 en cinco dimensiones (Tabla 2): proceso, calidad, confiabilidad, seguridad/cumplimiento y costo, medidas semanalmente desde Git, CI/CD, tickets, SonarQube y observabilidad; además, encuestas semanales opcionales a desarrollador</w:t>
      </w:r>
      <w:r>
        <w:rPr>
          <w:rFonts w:ascii="Times New Roman" w:eastAsia="Times New Roman" w:hAnsi="Times New Roman"/>
        </w:rPr>
        <w:t>es.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Análisis:</w:t>
      </w:r>
      <w:r>
        <w:rPr>
          <w:rFonts w:ascii="Times New Roman" w:eastAsia="Times New Roman" w:hAnsi="Times New Roman"/>
        </w:rPr>
        <w:t xml:space="preserve"> Wilcoxon de rangos con signo (α = 0.05), δ de Cliff, estima</w:t>
      </w:r>
      <w:r w:rsidR="000444B8">
        <w:rPr>
          <w:rFonts w:ascii="Times New Roman" w:eastAsia="Times New Roman" w:hAnsi="Times New Roman"/>
        </w:rPr>
        <w:t>dor de Hodges–Lehmann con IC 95</w:t>
      </w:r>
      <w:r>
        <w:rPr>
          <w:rFonts w:ascii="Times New Roman" w:eastAsia="Times New Roman" w:hAnsi="Times New Roman"/>
        </w:rPr>
        <w:t>% por bootstrap (10 000 repeticiones), R 4.3.1 (Sec. 3.6).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Revisión sistemática:</w:t>
      </w:r>
      <w:r>
        <w:rPr>
          <w:rFonts w:ascii="Times New Roman" w:eastAsia="Times New Roman" w:hAnsi="Times New Roman"/>
        </w:rPr>
        <w:t xml:space="preserve"> 34 estudios; 53 % incluye evaluación empírica y ninguno usa ensayo</w:t>
      </w:r>
      <w:r>
        <w:rPr>
          <w:rFonts w:ascii="Times New Roman" w:eastAsia="Times New Roman" w:hAnsi="Times New Roman"/>
        </w:rPr>
        <w:t>s aleatorizados (Sec. 4.1).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Selección de casos:</w:t>
      </w:r>
      <w:r>
        <w:rPr>
          <w:rFonts w:ascii="Times New Roman" w:eastAsia="Times New Roman" w:hAnsi="Times New Roman"/>
        </w:rPr>
        <w:t xml:space="preserve"> por disposición a participar, diversidad de dominio y stack, CI/CD establecido y métricas base disponibles (Sec. 3.3); los autores reconocen riesgo de sesgo de selección.</w:t>
      </w: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Revisión de fugas / Leakage check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N</w:t>
      </w:r>
      <w:r>
        <w:rPr>
          <w:rFonts w:ascii="Times New Roman" w:eastAsia="Times New Roman" w:hAnsi="Times New Roman"/>
        </w:rPr>
        <w:t>o hay partición entrenamiento/prueba, pero sí amenazas equivalentes (contaminación temporal y de métricas): el artículo las nombra en la Sec. 5.5 y no las comprueba. Las siguientes son las más serias.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Censura en defect density:</w:t>
      </w:r>
      <w:r>
        <w:rPr>
          <w:rFonts w:ascii="Times New Roman" w:eastAsia="Times New Roman" w:hAnsi="Times New Roman"/>
        </w:rPr>
        <w:t xml:space="preserve"> se define como defectos de</w:t>
      </w:r>
      <w:r>
        <w:rPr>
          <w:rFonts w:ascii="Times New Roman" w:eastAsia="Times New Roman" w:hAnsi="Times New Roman"/>
        </w:rPr>
        <w:t xml:space="preserve"> producción en 30 días (Tabla 2). Con 12 semanas de tratamiento, los cambios de las últimas 4 semanas no tuvieron 30 días de observación, lo que sesgaría la densidad a la baja salvo que se ampliara el seguimiento (no se menciona).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 xml:space="preserve">Métricas afectadas por </w:t>
      </w:r>
      <w:r>
        <w:rPr>
          <w:rFonts w:ascii="Times New Roman" w:eastAsia="Times New Roman" w:hAnsi="Times New Roman"/>
          <w:b/>
        </w:rPr>
        <w:t>la intervención:</w:t>
      </w:r>
      <w:r>
        <w:rPr>
          <w:rFonts w:ascii="Times New Roman" w:eastAsia="Times New Roman" w:hAnsi="Times New Roman"/>
        </w:rPr>
        <w:t xml:space="preserve"> los agentes generan pruebas, así que cobertura y ejecuciones de prueba suben por construcción; ~48 % de los PR son escritos por agentes, lo que altera también el denominador KLOC y los conteos de PR (Sec. 5.2).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Ventanas desiguales:</w:t>
      </w:r>
      <w:r>
        <w:rPr>
          <w:rFonts w:ascii="Times New Roman" w:eastAsia="Times New Roman" w:hAnsi="Times New Roman"/>
        </w:rPr>
        <w:t xml:space="preserve"> si lo</w:t>
      </w:r>
      <w:r>
        <w:rPr>
          <w:rFonts w:ascii="Times New Roman" w:eastAsia="Times New Roman" w:hAnsi="Times New Roman"/>
        </w:rPr>
        <w:t>s totales de la Sec. 4.2 son brutos, el tratamiento tiene 50 % más semanas. Por semana, commits +19 % (2 156 → 3 847), PR +18 % (1 087 → 1 923), despliegues +39 % (234 → 487), ejecuciones de prueba +14 % (52 109 → 89 234) e incidentes −64 % (124 → 67), fre</w:t>
      </w:r>
      <w:r>
        <w:rPr>
          <w:rFonts w:ascii="Times New Roman" w:eastAsia="Times New Roman" w:hAnsi="Times New Roman"/>
        </w:rPr>
        <w:t>nte a aumentos de 78 %, 77 %, 108 %, 71 % y una caída de 46 % en bruto. El texto no aclara cuál es el caso.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Historia y estacionalidad:</w:t>
      </w:r>
      <w:r>
        <w:rPr>
          <w:rFonts w:ascii="Times New Roman" w:eastAsia="Times New Roman" w:hAnsi="Times New Roman"/>
        </w:rPr>
        <w:t xml:space="preserve"> base y tratamiento caen en periodos distintos; “se consideraron los ciclos de lanzamiento” se afirma sin mostrar cómo, </w:t>
      </w:r>
      <w:r>
        <w:rPr>
          <w:rFonts w:ascii="Times New Roman" w:eastAsia="Times New Roman" w:hAnsi="Times New Roman"/>
        </w:rPr>
        <w:t>y no hay covariables ni serie temporal interrumpida.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Novedad y aprendizaje:</w:t>
      </w:r>
      <w:r>
        <w:rPr>
          <w:rFonts w:ascii="Times New Roman" w:eastAsia="Times New Roman" w:hAnsi="Times New Roman"/>
        </w:rPr>
        <w:t xml:space="preserve"> equipos voluntarios, con ganancias concentradas en las semanas 2–6, sin periodo de lavado ni evaluación ciega.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Independencia:</w:t>
      </w:r>
      <w:r>
        <w:rPr>
          <w:rFonts w:ascii="Times New Roman" w:eastAsia="Times New Roman" w:hAnsi="Times New Roman"/>
        </w:rPr>
        <w:t xml:space="preserve"> los autores diseñaron, ejecutaron y analizaron el </w:t>
      </w:r>
      <w:r>
        <w:rPr>
          <w:rFonts w:ascii="Times New Roman" w:eastAsia="Times New Roman" w:hAnsi="Times New Roman"/>
        </w:rPr>
        <w:t>estudio (Contribuciones de autores); no hay preregistro ni análisis independiente.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Marco validado en los mismos casos:</w:t>
      </w:r>
      <w:r>
        <w:rPr>
          <w:rFonts w:ascii="Times New Roman" w:eastAsia="Times New Roman" w:hAnsi="Times New Roman"/>
        </w:rPr>
        <w:t xml:space="preserve"> el marco se propone y se “valida” con los mismos 4 proyectos; no se aclara si se ajustó durante el estudio ni existe conjunto reservado.</w:t>
      </w: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Rigor estadístico / Statistical rigor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Los p-valores reportados (0.005–0.02) no pueden provenir de un Wilcoxon de rango</w:t>
      </w:r>
      <w:r>
        <w:rPr>
          <w:rFonts w:ascii="Times New Roman" w:eastAsia="Times New Roman" w:hAnsi="Times New Roman"/>
        </w:rPr>
        <w:t>s con signo sobre 4 equipos: con n = 4 pares, el p exacto bilateral mínimo es 2/16 = 0.125.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Unidad de análisis no declarada.</w:t>
      </w:r>
      <w:r>
        <w:rPr>
          <w:rFonts w:ascii="Times New Roman" w:eastAsia="Times New Roman" w:hAnsi="Times New Roman"/>
        </w:rPr>
        <w:t xml:space="preserve"> Si son equipos, p ≥ 0.125. Si son semanas, 8 de base y 12 de tratamiento no forman pares (correspondería Mann–Whitney) y las sema</w:t>
      </w:r>
      <w:r>
        <w:rPr>
          <w:rFonts w:ascii="Times New Roman" w:eastAsia="Times New Roman" w:hAnsi="Times New Roman"/>
        </w:rPr>
        <w:t>nas de un mismo equipo están autocorrelacionadas (pseudorreplicación).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Bootstrap con 4 conglomerados:</w:t>
      </w:r>
      <w:r>
        <w:rPr>
          <w:rFonts w:ascii="Times New Roman" w:eastAsia="Times New Roman" w:hAnsi="Times New Roman"/>
        </w:rPr>
        <w:t xml:space="preserve"> remuestrear 4 equipos da intervalos inestables; remuestrear semanas ignora el efecto equipo.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Comparaciones múltiples:</w:t>
      </w:r>
      <w:r>
        <w:rPr>
          <w:rFonts w:ascii="Times New Roman" w:eastAsia="Times New Roman" w:hAnsi="Times New Roman"/>
        </w:rPr>
        <w:t xml:space="preserve"> 6 resultados contrastados a α = </w:t>
      </w:r>
      <w:r>
        <w:rPr>
          <w:rFonts w:ascii="Times New Roman" w:eastAsia="Times New Roman" w:hAnsi="Times New Roman"/>
        </w:rPr>
        <w:t>0.05 sin corrección; sin análisis de potencia (los autores solo admiten potencia limitada, Sec. 5.5).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Etiquetas de tamaño del efecto:</w:t>
      </w:r>
      <w:r>
        <w:rPr>
          <w:rFonts w:ascii="Times New Roman" w:eastAsia="Times New Roman" w:hAnsi="Times New Roman"/>
        </w:rPr>
        <w:t xml:space="preserve"> la Sec. 3.6 fija “grande” en |δ| ≥ 0.47, pero la Tabla 4 llama “medio” a δ = 0.58 (densidad de defectos) y 0.54 (fallos </w:t>
      </w:r>
      <w:r>
        <w:rPr>
          <w:rFonts w:ascii="Times New Roman" w:eastAsia="Times New Roman" w:hAnsi="Times New Roman"/>
        </w:rPr>
        <w:t>de cambio).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Solo medianas agregadas:</w:t>
      </w:r>
      <w:r>
        <w:rPr>
          <w:rFonts w:ascii="Times New Roman" w:eastAsia="Times New Roman" w:hAnsi="Times New Roman"/>
        </w:rPr>
        <w:t xml:space="preserve"> se afirma mejora “consistente en todos los proyectos” sin mostrar resultados por proyecto.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lastRenderedPageBreak/>
        <w:t xml:space="preserve">• </w:t>
      </w:r>
      <w:r>
        <w:rPr>
          <w:rFonts w:ascii="Times New Roman" w:eastAsia="Times New Roman" w:hAnsi="Times New Roman"/>
          <w:b/>
        </w:rPr>
        <w:t>Figura 6:</w:t>
      </w:r>
      <w:r>
        <w:rPr>
          <w:rFonts w:ascii="Times New Roman" w:eastAsia="Times New Roman" w:hAnsi="Times New Roman"/>
        </w:rPr>
        <w:t xml:space="preserve"> las tres series parecen líneas rectas entre la mediana base y la de tratamiento, mientras el texto dice que las ga</w:t>
      </w:r>
      <w:r>
        <w:rPr>
          <w:rFonts w:ascii="Times New Roman" w:eastAsia="Times New Roman" w:hAnsi="Times New Roman"/>
        </w:rPr>
        <w:t>nancias se concentran en las semanas 2–6 y luego se estabilizan; parece una tendencia ilustrativa, no datos semanales observados (inferencia visual).</w:t>
      </w:r>
    </w:p>
    <w:p w:rsidR="00C1003E" w:rsidRDefault="00146776">
      <w:pPr>
        <w:keepNext/>
        <w:spacing w:before="80" w:after="80"/>
        <w:jc w:val="both"/>
      </w:pPr>
      <w:r>
        <w:rPr>
          <w:rFonts w:ascii="Times New Roman" w:eastAsia="Times New Roman" w:hAnsi="Times New Roman"/>
        </w:rPr>
        <w:t>El resumen (abstract) y la Tabla 4 también se contradicen: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4160"/>
      </w:tblGrid>
      <w:tr w:rsidR="00C1003E">
        <w:trPr>
          <w:tblHeader/>
          <w:jc w:val="center"/>
        </w:trPr>
        <w:tc>
          <w:tcPr>
            <w:tcW w:w="17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Métrica</w:t>
            </w:r>
          </w:p>
        </w:tc>
        <w:tc>
          <w:tcPr>
            <w:tcW w:w="35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Resumen (abstract)</w:t>
            </w:r>
          </w:p>
        </w:tc>
        <w:tc>
          <w:tcPr>
            <w:tcW w:w="416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Tabla 4 / Sec. 4.3</w:t>
            </w:r>
          </w:p>
        </w:tc>
      </w:tr>
      <w:tr w:rsidR="00C1003E">
        <w:trPr>
          <w:cantSplit/>
          <w:jc w:val="center"/>
        </w:trPr>
        <w:tc>
          <w:tcPr>
            <w:tcW w:w="1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Tiempo de ciclo / lead time</w:t>
            </w:r>
          </w:p>
        </w:tc>
        <w:tc>
          <w:tcPr>
            <w:tcW w:w="35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−40 a −55 %; mediana −2.4 d, IC [−3.1, −1.7], p = 0.01</w:t>
            </w:r>
          </w:p>
        </w:tc>
        <w:tc>
          <w:tcPr>
            <w:tcW w:w="4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Solo “lead time”: 7.1 → 4.0 d, −3.1 d, IC [−4.0, −2.2], p = 0.008 (el texto y la Fig. 5 llaman “cycle time” a 7.1 → 4.0)</w:t>
            </w:r>
          </w:p>
        </w:tc>
      </w:tr>
      <w:tr w:rsidR="00C1003E">
        <w:trPr>
          <w:cantSplit/>
          <w:jc w:val="center"/>
        </w:trPr>
        <w:tc>
          <w:tcPr>
            <w:tcW w:w="1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MTTR</w:t>
            </w:r>
          </w:p>
        </w:tc>
        <w:tc>
          <w:tcPr>
            <w:tcW w:w="35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−29 min, IC [−38, −20], p = 0.02</w:t>
            </w:r>
          </w:p>
        </w:tc>
        <w:tc>
          <w:tcPr>
            <w:tcW w:w="4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−32 min, IC [−43, −21], p = 0.010</w:t>
            </w:r>
          </w:p>
        </w:tc>
      </w:tr>
      <w:tr w:rsidR="00C1003E">
        <w:trPr>
          <w:cantSplit/>
          <w:jc w:val="center"/>
        </w:trPr>
        <w:tc>
          <w:tcPr>
            <w:tcW w:w="1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Cobertura de pruebas</w:t>
            </w:r>
          </w:p>
        </w:tc>
        <w:tc>
          <w:tcPr>
            <w:tcW w:w="35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+11 a +45 % (la Discusión dice “puntos porcentuales”)</w:t>
            </w:r>
          </w:p>
        </w:tc>
        <w:tc>
          <w:tcPr>
            <w:tcW w:w="4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+18 pp (51 → 69)</w:t>
            </w:r>
          </w:p>
        </w:tc>
      </w:tr>
      <w:tr w:rsidR="00C1003E">
        <w:trPr>
          <w:cantSplit/>
          <w:jc w:val="center"/>
        </w:trPr>
        <w:tc>
          <w:tcPr>
            <w:tcW w:w="1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Fallos de cambio</w:t>
            </w:r>
          </w:p>
        </w:tc>
        <w:tc>
          <w:tcPr>
            <w:tcW w:w="35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−7 a −11 %</w:t>
            </w:r>
          </w:p>
        </w:tc>
        <w:tc>
          <w:tcPr>
            <w:tcW w:w="41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−8 pp (24 → 16)</w:t>
            </w:r>
          </w:p>
        </w:tc>
      </w:tr>
    </w:tbl>
    <w:p w:rsidR="00C1003E" w:rsidRDefault="00C1003E">
      <w:pPr>
        <w:spacing w:after="60"/>
      </w:pP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Información faltante / Missing information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Falta lo necesario para que un tercero repita el estudio: la plataforma de agentes, los datos semanales y el protocolo de la revisión.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Plataforma de agentes:</w:t>
      </w:r>
      <w:r>
        <w:rPr>
          <w:rFonts w:ascii="Times New Roman" w:eastAsia="Times New Roman" w:hAnsi="Times New Roman"/>
        </w:rPr>
        <w:t xml:space="preserve"> producto, LLM y versión, prompts y configuración, nivel de autonomía, reglas de aprobación human</w:t>
      </w:r>
      <w:r>
        <w:rPr>
          <w:rFonts w:ascii="Times New Roman" w:eastAsia="Times New Roman" w:hAnsi="Times New Roman"/>
        </w:rPr>
        <w:t>a y políticas de Open Policy Agent.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Protocolo del estudio:</w:t>
      </w:r>
      <w:r>
        <w:rPr>
          <w:rFonts w:ascii="Times New Roman" w:eastAsia="Times New Roman" w:hAnsi="Times New Roman"/>
        </w:rPr>
        <w:t xml:space="preserve"> preregistro, fechas por proyecto, cómo se alinearon las ventanas con los ciclos de lanzamiento, unidad de análisis, semanas faltantes y curva de adopción por equipo.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Datos:</w:t>
      </w:r>
      <w:r>
        <w:rPr>
          <w:rFonts w:ascii="Times New Roman" w:eastAsia="Times New Roman" w:hAnsi="Times New Roman"/>
        </w:rPr>
        <w:t xml:space="preserve"> valores por proyecto</w:t>
      </w:r>
      <w:r>
        <w:rPr>
          <w:rFonts w:ascii="Times New Roman" w:eastAsia="Times New Roman" w:hAnsi="Times New Roman"/>
        </w:rPr>
        <w:t xml:space="preserve"> y semana, scripts de extracción y análisis, y una declaración de disponibilidad; tampoco se aclara la diferencia entre </w:t>
      </w:r>
      <w:r>
        <w:rPr>
          <w:rFonts w:ascii="Times New Roman" w:eastAsia="Times New Roman" w:hAnsi="Times New Roman"/>
          <w:i/>
        </w:rPr>
        <w:t>lead time</w:t>
      </w:r>
      <w:r>
        <w:rPr>
          <w:rFonts w:ascii="Times New Roman" w:eastAsia="Times New Roman" w:hAnsi="Times New Roman"/>
        </w:rPr>
        <w:t xml:space="preserve"> y </w:t>
      </w:r>
      <w:r>
        <w:rPr>
          <w:rFonts w:ascii="Times New Roman" w:eastAsia="Times New Roman" w:hAnsi="Times New Roman"/>
          <w:i/>
        </w:rPr>
        <w:t>cycle time</w:t>
      </w:r>
      <w:r>
        <w:rPr>
          <w:rFonts w:ascii="Times New Roman" w:eastAsia="Times New Roman" w:hAnsi="Times New Roman"/>
        </w:rPr>
        <w:t>, que se usan de forma intercambiable.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Resultados definidos y no reportados:</w:t>
      </w:r>
      <w:r>
        <w:rPr>
          <w:rFonts w:ascii="Times New Roman" w:eastAsia="Times New Roman" w:hAnsi="Times New Roman"/>
        </w:rPr>
        <w:t xml:space="preserve"> tasa de pruebas inestables, inciden</w:t>
      </w:r>
      <w:r>
        <w:rPr>
          <w:rFonts w:ascii="Times New Roman" w:eastAsia="Times New Roman" w:hAnsi="Times New Roman"/>
        </w:rPr>
        <w:t>tes de secretos, costo en la nube, duración del pipeline y encuestas de percepción (Tabla 2 y Sec. 3.5); “defectos escapados” y “tiempo a primera revisión” aparecen en el texto sin definición ni cifras.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Ética:</w:t>
      </w:r>
      <w:r>
        <w:rPr>
          <w:rFonts w:ascii="Times New Roman" w:eastAsia="Times New Roman" w:hAnsi="Times New Roman"/>
        </w:rPr>
        <w:t xml:space="preserve"> no hay aprobación ni consentimiento para dat</w:t>
      </w:r>
      <w:r>
        <w:rPr>
          <w:rFonts w:ascii="Times New Roman" w:eastAsia="Times New Roman" w:hAnsi="Times New Roman"/>
        </w:rPr>
        <w:t>os de desarrolladores y encuestas, y la organización no se identifica ni se dice que esté anonimizada.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Revisión sistemática:</w:t>
      </w:r>
      <w:r>
        <w:rPr>
          <w:rFonts w:ascii="Times New Roman" w:eastAsia="Times New Roman" w:hAnsi="Times New Roman"/>
        </w:rPr>
        <w:t xml:space="preserve"> no se reportan bases de datos, cadenas de búsqueda, criterios de inclusión, cribado ni evaluación de calidad, y no cita PRISMA 20</w:t>
      </w:r>
      <w:r>
        <w:rPr>
          <w:rFonts w:ascii="Times New Roman" w:eastAsia="Times New Roman" w:hAnsi="Times New Roman"/>
        </w:rPr>
        <w:t>20 (Page et al., 2021). Tampoco indica cuántos registros se identificaron antes de los 34, y el periodo cambia: 2024–2025 (resumen) frente a 2024–2026 (Sec. 2).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Cómputo:</w:t>
      </w:r>
      <w:r>
        <w:rPr>
          <w:rFonts w:ascii="Times New Roman" w:eastAsia="Times New Roman" w:hAnsi="Times New Roman"/>
        </w:rPr>
        <w:t xml:space="preserve"> solo R 4.3.1; sin paquetes ni semilla del bootstrap.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Efecto de la gobernanza:</w:t>
      </w:r>
      <w:r>
        <w:rPr>
          <w:rFonts w:ascii="Times New Roman" w:eastAsia="Times New Roman" w:hAnsi="Times New Roman"/>
        </w:rPr>
        <w:t xml:space="preserve"> no h</w:t>
      </w:r>
      <w:r>
        <w:rPr>
          <w:rFonts w:ascii="Times New Roman" w:eastAsia="Times New Roman" w:hAnsi="Times New Roman"/>
        </w:rPr>
        <w:t>ay un brazo con IA y sin gobernanza, así que las mejoras no se pueden atribuir a la gobernanza frente al agente.</w:t>
      </w:r>
    </w:p>
    <w:p w:rsidR="00C01733" w:rsidRPr="00C01733" w:rsidRDefault="00C01733" w:rsidP="00C01733">
      <w:pPr>
        <w:pStyle w:val="Ttulo1"/>
        <w:pageBreakBefore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Lista de reproducibilidad / Scorecard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>Resultado: 1 Sí, 5 Parcial, 3 No. Los ítems de aprendizaje automático se adaptaron al diseño cuasi-experi</w:t>
      </w:r>
      <w:r>
        <w:rPr>
          <w:rFonts w:ascii="Times New Roman" w:eastAsia="Times New Roman" w:hAnsi="Times New Roman"/>
        </w:rPr>
        <w:t>mental (ver equivalencias en las secciones 3 y 4).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900"/>
        <w:gridCol w:w="5760"/>
      </w:tblGrid>
      <w:tr w:rsidR="00C1003E">
        <w:trPr>
          <w:tblHeader/>
          <w:jc w:val="center"/>
        </w:trPr>
        <w:tc>
          <w:tcPr>
            <w:tcW w:w="27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Ítem</w:t>
            </w:r>
          </w:p>
        </w:tc>
        <w:tc>
          <w:tcPr>
            <w:tcW w:w="90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S / P / N</w:t>
            </w:r>
          </w:p>
        </w:tc>
        <w:tc>
          <w:tcPr>
            <w:tcW w:w="5760" w:type="dxa"/>
            <w:shd w:val="clear" w:color="auto" w:fill="1F3864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color w:val="FFFFFF"/>
                <w:sz w:val="17"/>
              </w:rPr>
              <w:t>Evidencia en el artículo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Semillas y varias corridas / Seeds, many runs</w:t>
            </w:r>
          </w:p>
        </w:tc>
        <w:tc>
          <w:tcPr>
            <w:tcW w:w="900" w:type="dxa"/>
            <w:shd w:val="clear" w:color="auto" w:fill="FFF2CC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Parcial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20 semanas × 4 equipos y resultados con IC (Tabla 4), pero medianas sin dispersión, sin corridas repetidas del agente (no determinista) y sin semilla del bootstrap.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Particiones descritas / Splits described</w:t>
            </w:r>
          </w:p>
        </w:tc>
        <w:tc>
          <w:tcPr>
            <w:tcW w:w="900" w:type="dxa"/>
            <w:shd w:val="clear" w:color="auto" w:fill="FFF2CC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Parcial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Base 8 sem. y tratamiento 12 sem., tamaños y stack (Tabla 1, Sec. 3.4); faltan fechas, unidad de análisis y alineación con ciclos de lanzamiento; ventanas desiguales.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Fugas revisadas / Leakage checked</w:t>
            </w:r>
          </w:p>
        </w:tc>
        <w:tc>
          <w:tcPr>
            <w:tcW w:w="900" w:type="dxa"/>
            <w:shd w:val="clear" w:color="auto" w:fill="F8CBAD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No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 xml:space="preserve">Amenazas nombradas (Sec. 5.5) pero no comprobadas; </w:t>
            </w:r>
            <w:r>
              <w:rPr>
                <w:rFonts w:ascii="Times New Roman" w:eastAsia="Times New Roman" w:hAnsi="Times New Roman"/>
                <w:sz w:val="17"/>
              </w:rPr>
              <w:t>censura de 30 días en defectos y métricas influidas por la intervención.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Ajuste separado / Tuning separated</w:t>
            </w:r>
          </w:p>
        </w:tc>
        <w:tc>
          <w:tcPr>
            <w:tcW w:w="900" w:type="dxa"/>
            <w:shd w:val="clear" w:color="auto" w:fill="FFF2CC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Parcial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El marco sale de la literatura antes del piloto (Sec. 3.1); no se dice si se ajustó durante los 4 proyectos y no hay conjunto reservado.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Prueba nombrada / Statistical test named</w:t>
            </w:r>
          </w:p>
        </w:tc>
        <w:tc>
          <w:tcPr>
            <w:tcW w:w="900" w:type="dxa"/>
            <w:shd w:val="clear" w:color="auto" w:fill="FFF2CC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Parcial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Wilcoxon, Hodges–Lehmann, δ de Cliff, R 4.3.1 (Sec. 3.6); con n = 4 pares el p mínimo es 0.125, sin corrección por comparaciones múltiples.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Pr="002C130B" w:rsidRDefault="00146776">
            <w:pPr>
              <w:spacing w:after="40"/>
              <w:rPr>
                <w:lang w:val="en-US"/>
              </w:rPr>
            </w:pPr>
            <w:proofErr w:type="spellStart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Efecto</w:t>
            </w:r>
            <w:proofErr w:type="spellEnd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 xml:space="preserve"> e </w:t>
            </w:r>
            <w:proofErr w:type="spellStart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>intervalo</w:t>
            </w:r>
            <w:proofErr w:type="spellEnd"/>
            <w:r w:rsidRPr="002C130B">
              <w:rPr>
                <w:rFonts w:ascii="Times New Roman" w:eastAsia="Times New Roman" w:hAnsi="Times New Roman"/>
                <w:sz w:val="17"/>
                <w:lang w:val="en-US"/>
              </w:rPr>
              <w:t xml:space="preserve"> / Effect size and CI</w:t>
            </w:r>
          </w:p>
        </w:tc>
        <w:tc>
          <w:tcPr>
            <w:tcW w:w="900" w:type="dxa"/>
            <w:shd w:val="clear" w:color="auto" w:fill="E2EFD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Sí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δ de Cliff e IC 95 % por métrica (Tabla 4), con etiquetas de efecto y cifras del resumen inconsistentes.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Validación externa / External validation</w:t>
            </w:r>
          </w:p>
        </w:tc>
        <w:tc>
          <w:tcPr>
            <w:tcW w:w="900" w:type="dxa"/>
            <w:shd w:val="clear" w:color="auto" w:fill="F8CBAD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No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Una organización, 4 proyectos, sin réplica; los autores lo admiten (Sec. 5.5).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Cómputo documentado / Compute documented</w:t>
            </w:r>
          </w:p>
        </w:tc>
        <w:tc>
          <w:tcPr>
            <w:tcW w:w="900" w:type="dxa"/>
            <w:shd w:val="clear" w:color="auto" w:fill="FFF2CC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Parcial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Herramientas del pipeline y R 4.3.1; no se indica plataforma de agentes, modelo ni versiones.</w:t>
            </w:r>
          </w:p>
        </w:tc>
      </w:tr>
      <w:tr w:rsidR="00C1003E">
        <w:trPr>
          <w:cantSplit/>
          <w:jc w:val="center"/>
        </w:trPr>
        <w:tc>
          <w:tcPr>
            <w:tcW w:w="270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Código y datos / Code and data available</w:t>
            </w:r>
          </w:p>
        </w:tc>
        <w:tc>
          <w:tcPr>
            <w:tcW w:w="900" w:type="dxa"/>
            <w:shd w:val="clear" w:color="auto" w:fill="F8CBAD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b/>
                <w:sz w:val="17"/>
              </w:rPr>
              <w:t>No</w:t>
            </w:r>
          </w:p>
        </w:tc>
        <w:tc>
          <w:tcPr>
            <w:tcW w:w="5760" w:type="dxa"/>
          </w:tcPr>
          <w:p w:rsidR="00C1003E" w:rsidRDefault="00146776">
            <w:pPr>
              <w:spacing w:after="40"/>
            </w:pPr>
            <w:r>
              <w:rPr>
                <w:rFonts w:ascii="Times New Roman" w:eastAsia="Times New Roman" w:hAnsi="Times New Roman"/>
                <w:sz w:val="17"/>
              </w:rPr>
              <w:t>Sin repositorio ni declaración; solo medianas agregadas (Tabla 4).</w:t>
            </w:r>
          </w:p>
        </w:tc>
      </w:tr>
    </w:tbl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Puntaje global /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Overall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score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  <w:b/>
        </w:rPr>
        <w:t>3.5 / 9 (≈ 3.9 / 10): reproducibilidad baja.</w:t>
      </w:r>
      <w:r>
        <w:rPr>
          <w:rFonts w:ascii="Times New Roman" w:eastAsia="Times New Roman" w:hAnsi="Times New Roman"/>
        </w:rPr>
        <w:t xml:space="preserve"> El artículo es transparente sobre sus límites, pero hoy un tercero no podría repetirlo ni verificar sus cifras.</w:t>
      </w:r>
    </w:p>
    <w:p w:rsidR="00C1003E" w:rsidRDefault="00146776">
      <w:pPr>
        <w:spacing w:after="120"/>
        <w:jc w:val="both"/>
      </w:pPr>
      <w:r>
        <w:rPr>
          <w:rFonts w:ascii="Times New Roman" w:eastAsia="Times New Roman" w:hAnsi="Times New Roman"/>
        </w:rPr>
        <w:t xml:space="preserve">Criterio: Sí = 1, Parcial = 0.5, No = 0, sin ponderar (1 + 5 × 0.5 </w:t>
      </w:r>
      <w:r>
        <w:rPr>
          <w:rFonts w:ascii="Times New Roman" w:eastAsia="Times New Roman" w:hAnsi="Times New Roman"/>
        </w:rPr>
        <w:t>+ 0 = 3.5).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A favor:</w:t>
      </w:r>
      <w:r>
        <w:rPr>
          <w:rFonts w:ascii="Times New Roman" w:eastAsia="Times New Roman" w:hAnsi="Times New Roman"/>
        </w:rPr>
        <w:t xml:space="preserve"> variables definidas con precisión (Tabla 2), línea base de 8 semanas, pruebas no paramétricas con tamaño del efecto e IC, descripción del stack de herramientas y una sección honesta de validez (Sec. 5.5).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En contra:</w:t>
      </w:r>
      <w:r>
        <w:rPr>
          <w:rFonts w:ascii="Times New Roman" w:eastAsia="Times New Roman" w:hAnsi="Times New Roman"/>
        </w:rPr>
        <w:t xml:space="preserve"> sin código ni d</w:t>
      </w:r>
      <w:r>
        <w:rPr>
          <w:rFonts w:ascii="Times New Roman" w:eastAsia="Times New Roman" w:hAnsi="Times New Roman"/>
        </w:rPr>
        <w:t>atos, plataforma de agentes sin identificar, p-valores incompatibles con n = 4, cifras que no coinciden entre resumen y tabla, y una sola organización.</w:t>
      </w:r>
    </w:p>
    <w:p w:rsidR="00C1003E" w:rsidRDefault="00146776">
      <w:pPr>
        <w:spacing w:after="60"/>
        <w:ind w:left="432" w:hanging="216"/>
        <w:jc w:val="both"/>
      </w:pPr>
      <w:r>
        <w:rPr>
          <w:rFonts w:ascii="Times New Roman" w:eastAsia="Times New Roman" w:hAnsi="Times New Roman"/>
        </w:rPr>
        <w:t xml:space="preserve">• </w:t>
      </w:r>
      <w:r>
        <w:rPr>
          <w:rFonts w:ascii="Times New Roman" w:eastAsia="Times New Roman" w:hAnsi="Times New Roman"/>
          <w:b/>
        </w:rPr>
        <w:t>Lectura:</w:t>
      </w:r>
      <w:r>
        <w:rPr>
          <w:rFonts w:ascii="Times New Roman" w:eastAsia="Times New Roman" w:hAnsi="Times New Roman"/>
        </w:rPr>
        <w:t xml:space="preserve"> sus conclusiones son indicativas, como los propios autores reconocen; no sirven como evidenci</w:t>
      </w:r>
      <w:r>
        <w:rPr>
          <w:rFonts w:ascii="Times New Roman" w:eastAsia="Times New Roman" w:hAnsi="Times New Roman"/>
        </w:rPr>
        <w:t>a de que la IA agéntica mejora el desempeño, y menos de que lo haga la gobernanza.</w:t>
      </w:r>
    </w:p>
    <w:p w:rsidR="00C01733" w:rsidRPr="00C01733" w:rsidRDefault="00C01733" w:rsidP="00C01733">
      <w:pPr>
        <w:pStyle w:val="Ttulo1"/>
        <w:numPr>
          <w:ilvl w:val="0"/>
          <w:numId w:val="15"/>
        </w:numPr>
        <w:spacing w:before="400" w:after="200"/>
        <w:ind w:hanging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Tres recomendaciones / Recommendations</w:t>
      </w:r>
    </w:p>
    <w:p w:rsidR="00C1003E" w:rsidRDefault="00146776">
      <w:pPr>
        <w:spacing w:after="80"/>
        <w:ind w:left="432" w:hanging="288"/>
        <w:jc w:val="both"/>
      </w:pPr>
      <w:r>
        <w:rPr>
          <w:rFonts w:ascii="Times New Roman" w:eastAsia="Times New Roman" w:hAnsi="Times New Roman"/>
        </w:rPr>
        <w:t xml:space="preserve">1. </w:t>
      </w:r>
      <w:r>
        <w:rPr>
          <w:rFonts w:ascii="Times New Roman" w:eastAsia="Times New Roman" w:hAnsi="Times New Roman"/>
          <w:b/>
        </w:rPr>
        <w:t>Publicar datos, scripts y protocolo.</w:t>
      </w:r>
      <w:r>
        <w:rPr>
          <w:rFonts w:ascii="Times New Roman" w:eastAsia="Times New Roman" w:hAnsi="Times New Roman"/>
        </w:rPr>
        <w:t xml:space="preserve"> Compartir valores anonimizados por proyecto y semana, el script de R con semilla y las fechas de cada ventana; reconciliar resumen, Tabla 4 y Figuras 5–6 (lead time frente a cycle time, MTTR, puntos porcentuales) y reportar las 12 variables o justificar l</w:t>
      </w:r>
      <w:r>
        <w:rPr>
          <w:rFonts w:ascii="Times New Roman" w:eastAsia="Times New Roman" w:hAnsi="Times New Roman"/>
        </w:rPr>
        <w:t>as omitidas. Mejora los ítems de código y datos, corridas y efecto.</w:t>
      </w:r>
    </w:p>
    <w:p w:rsidR="00C1003E" w:rsidRDefault="00146776">
      <w:pPr>
        <w:spacing w:after="80"/>
        <w:ind w:left="432" w:hanging="288"/>
        <w:jc w:val="both"/>
      </w:pPr>
      <w:r>
        <w:rPr>
          <w:rFonts w:ascii="Times New Roman" w:eastAsia="Times New Roman" w:hAnsi="Times New Roman"/>
        </w:rPr>
        <w:t xml:space="preserve">2. </w:t>
      </w:r>
      <w:r>
        <w:rPr>
          <w:rFonts w:ascii="Times New Roman" w:eastAsia="Times New Roman" w:hAnsi="Times New Roman"/>
          <w:b/>
        </w:rPr>
        <w:t>Rehacer el análisis con la unidad correcta.</w:t>
      </w:r>
      <w:r>
        <w:rPr>
          <w:rFonts w:ascii="Times New Roman" w:eastAsia="Times New Roman" w:hAnsi="Times New Roman"/>
        </w:rPr>
        <w:t xml:space="preserve"> Usar una serie temporal interrumpida o un modelo mixto con el equipo como efecto aleatorio y las semanas como observaciones, normalizar los c</w:t>
      </w:r>
      <w:r>
        <w:rPr>
          <w:rFonts w:ascii="Times New Roman" w:eastAsia="Times New Roman" w:hAnsi="Times New Roman"/>
        </w:rPr>
        <w:t>onteos por semana, ampliar el seguimiento a más de 30 días para defectos, corregir por comparaciones múltiples y no apoyarse en un signed-rank con n = 4. Mejora fugas y prueba estadística.</w:t>
      </w:r>
    </w:p>
    <w:p w:rsidR="00C1003E" w:rsidRDefault="00146776">
      <w:pPr>
        <w:spacing w:after="80"/>
        <w:ind w:left="432" w:hanging="288"/>
        <w:jc w:val="both"/>
      </w:pPr>
      <w:r>
        <w:rPr>
          <w:rFonts w:ascii="Times New Roman" w:eastAsia="Times New Roman" w:hAnsi="Times New Roman"/>
        </w:rPr>
        <w:lastRenderedPageBreak/>
        <w:t xml:space="preserve">3. </w:t>
      </w:r>
      <w:r>
        <w:rPr>
          <w:rFonts w:ascii="Times New Roman" w:eastAsia="Times New Roman" w:hAnsi="Times New Roman"/>
          <w:b/>
        </w:rPr>
        <w:t>Documentar la intervención y añadir comparación.</w:t>
      </w:r>
      <w:r>
        <w:rPr>
          <w:rFonts w:ascii="Times New Roman" w:eastAsia="Times New Roman" w:hAnsi="Times New Roman"/>
        </w:rPr>
        <w:t xml:space="preserve"> Describir plata</w:t>
      </w:r>
      <w:r>
        <w:rPr>
          <w:rFonts w:ascii="Times New Roman" w:eastAsia="Times New Roman" w:hAnsi="Times New Roman"/>
        </w:rPr>
        <w:t>forma, modelo, versiones, configuración y políticas; incorporar equipos sin IA o una adopción escalonada para separar el efecto del agente, de la gobernanza y de la novedad; replicar en otra organización y reportar la revisión con PRISMA 2020. Mejora cómp</w:t>
      </w:r>
      <w:bookmarkStart w:id="0" w:name="_GoBack"/>
      <w:bookmarkEnd w:id="0"/>
      <w:r>
        <w:rPr>
          <w:rFonts w:ascii="Times New Roman" w:eastAsia="Times New Roman" w:hAnsi="Times New Roman"/>
        </w:rPr>
        <w:t>u</w:t>
      </w:r>
      <w:r>
        <w:rPr>
          <w:rFonts w:ascii="Times New Roman" w:eastAsia="Times New Roman" w:hAnsi="Times New Roman"/>
        </w:rPr>
        <w:t>to y validación externa.</w:t>
      </w:r>
    </w:p>
    <w:p w:rsidR="00C1003E" w:rsidRDefault="00146776">
      <w:pPr>
        <w:keepNext/>
        <w:spacing w:before="160" w:after="80"/>
      </w:pPr>
      <w:r>
        <w:rPr>
          <w:rFonts w:ascii="Times New Roman" w:eastAsia="Times New Roman" w:hAnsi="Times New Roman"/>
          <w:b/>
          <w:sz w:val="24"/>
        </w:rPr>
        <w:t>Referencias</w:t>
      </w:r>
    </w:p>
    <w:p w:rsidR="00C1003E" w:rsidRPr="002C130B" w:rsidRDefault="00146776">
      <w:pPr>
        <w:spacing w:after="60"/>
        <w:ind w:left="432" w:hanging="432"/>
        <w:rPr>
          <w:lang w:val="en-US"/>
        </w:rPr>
      </w:pPr>
      <w:r>
        <w:rPr>
          <w:rFonts w:ascii="Times New Roman" w:eastAsia="Times New Roman" w:hAnsi="Times New Roman"/>
          <w:sz w:val="20"/>
        </w:rPr>
        <w:t xml:space="preserve">Alenezi, M., Akour, M., &amp; Al-Omari, O. (2026). </w:t>
      </w:r>
      <w:r w:rsidRPr="002C130B">
        <w:rPr>
          <w:rFonts w:ascii="Times New Roman" w:eastAsia="Times New Roman" w:hAnsi="Times New Roman"/>
          <w:sz w:val="20"/>
          <w:lang w:val="en-US"/>
        </w:rPr>
        <w:t xml:space="preserve">Agentic artificial intelligence in software engineering: Integration points, architectural frameworks, empirical evaluation, and governance. </w:t>
      </w:r>
      <w:r w:rsidRPr="002C130B">
        <w:rPr>
          <w:rFonts w:ascii="Times New Roman" w:eastAsia="Times New Roman" w:hAnsi="Times New Roman"/>
          <w:i/>
          <w:sz w:val="20"/>
          <w:lang w:val="en-US"/>
        </w:rPr>
        <w:t>International Journal of Technology, 17</w:t>
      </w:r>
      <w:r w:rsidRPr="002C130B">
        <w:rPr>
          <w:rFonts w:ascii="Times New Roman" w:eastAsia="Times New Roman" w:hAnsi="Times New Roman"/>
          <w:sz w:val="20"/>
          <w:lang w:val="en-US"/>
        </w:rPr>
        <w:t>(4), 1245–1262. https://doi.org/10.14716/ijtech.v17i4.8380</w:t>
      </w:r>
    </w:p>
    <w:p w:rsidR="00C1003E" w:rsidRDefault="00146776">
      <w:pPr>
        <w:spacing w:after="60"/>
        <w:ind w:left="432" w:hanging="432"/>
      </w:pPr>
      <w:r w:rsidRPr="002C130B">
        <w:rPr>
          <w:rFonts w:ascii="Times New Roman" w:eastAsia="Times New Roman" w:hAnsi="Times New Roman"/>
          <w:sz w:val="20"/>
          <w:lang w:val="en-US"/>
        </w:rPr>
        <w:t xml:space="preserve">Page, M. J., McKenzie, J. E., </w:t>
      </w:r>
      <w:proofErr w:type="spellStart"/>
      <w:r w:rsidRPr="002C130B">
        <w:rPr>
          <w:rFonts w:ascii="Times New Roman" w:eastAsia="Times New Roman" w:hAnsi="Times New Roman"/>
          <w:sz w:val="20"/>
          <w:lang w:val="en-US"/>
        </w:rPr>
        <w:t>Bossuyt</w:t>
      </w:r>
      <w:proofErr w:type="spellEnd"/>
      <w:r w:rsidRPr="002C130B">
        <w:rPr>
          <w:rFonts w:ascii="Times New Roman" w:eastAsia="Times New Roman" w:hAnsi="Times New Roman"/>
          <w:sz w:val="20"/>
          <w:lang w:val="en-US"/>
        </w:rPr>
        <w:t xml:space="preserve">, P. M., et al. (2021). The PRISMA 2020 statement: An updated guideline for reporting systematic reviews. </w:t>
      </w:r>
      <w:r>
        <w:rPr>
          <w:rFonts w:ascii="Times New Roman" w:eastAsia="Times New Roman" w:hAnsi="Times New Roman"/>
          <w:i/>
          <w:sz w:val="20"/>
        </w:rPr>
        <w:t>BMJ, 372</w:t>
      </w:r>
      <w:r>
        <w:rPr>
          <w:rFonts w:ascii="Times New Roman" w:eastAsia="Times New Roman" w:hAnsi="Times New Roman"/>
          <w:sz w:val="20"/>
        </w:rPr>
        <w:t xml:space="preserve">, n71. </w:t>
      </w:r>
      <w:r>
        <w:rPr>
          <w:rFonts w:ascii="Times New Roman" w:eastAsia="Times New Roman" w:hAnsi="Times New Roman"/>
          <w:sz w:val="20"/>
        </w:rPr>
        <w:t>https://doi.org/10.1136/bmj.n71</w:t>
      </w:r>
    </w:p>
    <w:sectPr w:rsidR="00C1003E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1E00"/>
    <w:multiLevelType w:val="hybridMultilevel"/>
    <w:tmpl w:val="43DA63C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" w15:restartNumberingAfterBreak="0">
    <w:nsid w:val="0C484D50"/>
    <w:multiLevelType w:val="hybridMultilevel"/>
    <w:tmpl w:val="64CAF64C"/>
    <w:lvl w:ilvl="0" w:tplc="28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EA57602"/>
    <w:multiLevelType w:val="hybridMultilevel"/>
    <w:tmpl w:val="07E4F634"/>
    <w:lvl w:ilvl="0" w:tplc="F202FC6A">
      <w:start w:val="1"/>
      <w:numFmt w:val="decimal"/>
      <w:lvlText w:val="%1."/>
      <w:lvlJc w:val="left"/>
      <w:pPr>
        <w:ind w:left="460" w:hanging="260"/>
      </w:pPr>
    </w:lvl>
    <w:lvl w:ilvl="1" w:tplc="15FCE6F4">
      <w:numFmt w:val="decimal"/>
      <w:lvlText w:val=""/>
      <w:lvlJc w:val="left"/>
    </w:lvl>
    <w:lvl w:ilvl="2" w:tplc="DB2E3350">
      <w:numFmt w:val="decimal"/>
      <w:lvlText w:val=""/>
      <w:lvlJc w:val="left"/>
    </w:lvl>
    <w:lvl w:ilvl="3" w:tplc="CAE0870A">
      <w:numFmt w:val="decimal"/>
      <w:lvlText w:val=""/>
      <w:lvlJc w:val="left"/>
    </w:lvl>
    <w:lvl w:ilvl="4" w:tplc="EF123C2E">
      <w:numFmt w:val="decimal"/>
      <w:lvlText w:val=""/>
      <w:lvlJc w:val="left"/>
    </w:lvl>
    <w:lvl w:ilvl="5" w:tplc="145083B2">
      <w:numFmt w:val="decimal"/>
      <w:lvlText w:val=""/>
      <w:lvlJc w:val="left"/>
    </w:lvl>
    <w:lvl w:ilvl="6" w:tplc="AA6A3298">
      <w:numFmt w:val="decimal"/>
      <w:lvlText w:val=""/>
      <w:lvlJc w:val="left"/>
    </w:lvl>
    <w:lvl w:ilvl="7" w:tplc="7C86C316">
      <w:numFmt w:val="decimal"/>
      <w:lvlText w:val=""/>
      <w:lvlJc w:val="left"/>
    </w:lvl>
    <w:lvl w:ilvl="8" w:tplc="C9FA0FEE">
      <w:numFmt w:val="decimal"/>
      <w:lvlText w:val=""/>
      <w:lvlJc w:val="left"/>
    </w:lvl>
  </w:abstractNum>
  <w:abstractNum w:abstractNumId="3" w15:restartNumberingAfterBreak="0">
    <w:nsid w:val="16417C39"/>
    <w:multiLevelType w:val="hybridMultilevel"/>
    <w:tmpl w:val="AF329152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4" w15:restartNumberingAfterBreak="0">
    <w:nsid w:val="17DE4A79"/>
    <w:multiLevelType w:val="hybridMultilevel"/>
    <w:tmpl w:val="8894FB26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5" w15:restartNumberingAfterBreak="0">
    <w:nsid w:val="1938324A"/>
    <w:multiLevelType w:val="hybridMultilevel"/>
    <w:tmpl w:val="F0A21032"/>
    <w:lvl w:ilvl="0" w:tplc="CB18FD26">
      <w:start w:val="1"/>
      <w:numFmt w:val="bullet"/>
      <w:lvlText w:val="●"/>
      <w:lvlJc w:val="left"/>
      <w:pPr>
        <w:ind w:left="720" w:hanging="360"/>
      </w:pPr>
    </w:lvl>
    <w:lvl w:ilvl="1" w:tplc="42D2CE22">
      <w:start w:val="1"/>
      <w:numFmt w:val="bullet"/>
      <w:lvlText w:val="○"/>
      <w:lvlJc w:val="left"/>
      <w:pPr>
        <w:ind w:left="1440" w:hanging="360"/>
      </w:pPr>
    </w:lvl>
    <w:lvl w:ilvl="2" w:tplc="73307FB8">
      <w:start w:val="1"/>
      <w:numFmt w:val="bullet"/>
      <w:lvlText w:val="■"/>
      <w:lvlJc w:val="left"/>
      <w:pPr>
        <w:ind w:left="2160" w:hanging="360"/>
      </w:pPr>
    </w:lvl>
    <w:lvl w:ilvl="3" w:tplc="520AB92E">
      <w:start w:val="1"/>
      <w:numFmt w:val="bullet"/>
      <w:lvlText w:val="●"/>
      <w:lvlJc w:val="left"/>
      <w:pPr>
        <w:ind w:left="2880" w:hanging="360"/>
      </w:pPr>
    </w:lvl>
    <w:lvl w:ilvl="4" w:tplc="93FEED78">
      <w:start w:val="1"/>
      <w:numFmt w:val="bullet"/>
      <w:lvlText w:val="○"/>
      <w:lvlJc w:val="left"/>
      <w:pPr>
        <w:ind w:left="3600" w:hanging="360"/>
      </w:pPr>
    </w:lvl>
    <w:lvl w:ilvl="5" w:tplc="9A149B50">
      <w:start w:val="1"/>
      <w:numFmt w:val="bullet"/>
      <w:lvlText w:val="■"/>
      <w:lvlJc w:val="left"/>
      <w:pPr>
        <w:ind w:left="4320" w:hanging="360"/>
      </w:pPr>
    </w:lvl>
    <w:lvl w:ilvl="6" w:tplc="F86293D4">
      <w:start w:val="1"/>
      <w:numFmt w:val="bullet"/>
      <w:lvlText w:val="●"/>
      <w:lvlJc w:val="left"/>
      <w:pPr>
        <w:ind w:left="5040" w:hanging="360"/>
      </w:pPr>
    </w:lvl>
    <w:lvl w:ilvl="7" w:tplc="901C0CDA">
      <w:start w:val="1"/>
      <w:numFmt w:val="bullet"/>
      <w:lvlText w:val="●"/>
      <w:lvlJc w:val="left"/>
      <w:pPr>
        <w:ind w:left="5760" w:hanging="360"/>
      </w:pPr>
    </w:lvl>
    <w:lvl w:ilvl="8" w:tplc="65A250D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BF4265E"/>
    <w:multiLevelType w:val="hybridMultilevel"/>
    <w:tmpl w:val="23061172"/>
    <w:lvl w:ilvl="0" w:tplc="8B92C170">
      <w:start w:val="1"/>
      <w:numFmt w:val="decimal"/>
      <w:lvlText w:val="%1."/>
      <w:lvlJc w:val="left"/>
      <w:pPr>
        <w:ind w:left="460" w:hanging="260"/>
      </w:pPr>
    </w:lvl>
    <w:lvl w:ilvl="1" w:tplc="76CAA440">
      <w:numFmt w:val="decimal"/>
      <w:lvlText w:val=""/>
      <w:lvlJc w:val="left"/>
    </w:lvl>
    <w:lvl w:ilvl="2" w:tplc="D74AF2CC">
      <w:numFmt w:val="decimal"/>
      <w:lvlText w:val=""/>
      <w:lvlJc w:val="left"/>
    </w:lvl>
    <w:lvl w:ilvl="3" w:tplc="2E18BBC4">
      <w:numFmt w:val="decimal"/>
      <w:lvlText w:val=""/>
      <w:lvlJc w:val="left"/>
    </w:lvl>
    <w:lvl w:ilvl="4" w:tplc="BF524B3C">
      <w:numFmt w:val="decimal"/>
      <w:lvlText w:val=""/>
      <w:lvlJc w:val="left"/>
    </w:lvl>
    <w:lvl w:ilvl="5" w:tplc="AA48F9C2">
      <w:numFmt w:val="decimal"/>
      <w:lvlText w:val=""/>
      <w:lvlJc w:val="left"/>
    </w:lvl>
    <w:lvl w:ilvl="6" w:tplc="1674C78C">
      <w:numFmt w:val="decimal"/>
      <w:lvlText w:val=""/>
      <w:lvlJc w:val="left"/>
    </w:lvl>
    <w:lvl w:ilvl="7" w:tplc="FEDE5364">
      <w:numFmt w:val="decimal"/>
      <w:lvlText w:val=""/>
      <w:lvlJc w:val="left"/>
    </w:lvl>
    <w:lvl w:ilvl="8" w:tplc="B288AEF2">
      <w:numFmt w:val="decimal"/>
      <w:lvlText w:val=""/>
      <w:lvlJc w:val="left"/>
    </w:lvl>
  </w:abstractNum>
  <w:abstractNum w:abstractNumId="7" w15:restartNumberingAfterBreak="0">
    <w:nsid w:val="1EFF54FF"/>
    <w:multiLevelType w:val="hybridMultilevel"/>
    <w:tmpl w:val="0A0265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8" w15:restartNumberingAfterBreak="0">
    <w:nsid w:val="25B97573"/>
    <w:multiLevelType w:val="hybridMultilevel"/>
    <w:tmpl w:val="279A834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9" w15:restartNumberingAfterBreak="0">
    <w:nsid w:val="448D2521"/>
    <w:multiLevelType w:val="hybridMultilevel"/>
    <w:tmpl w:val="3C88A45A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0" w15:restartNumberingAfterBreak="0">
    <w:nsid w:val="45EC4487"/>
    <w:multiLevelType w:val="hybridMultilevel"/>
    <w:tmpl w:val="6840E824"/>
    <w:lvl w:ilvl="0" w:tplc="280A0001">
      <w:start w:val="1"/>
      <w:numFmt w:val="bullet"/>
      <w:lvlText w:val=""/>
      <w:lvlJc w:val="left"/>
      <w:pPr>
        <w:ind w:left="460" w:hanging="260"/>
      </w:pPr>
      <w:rPr>
        <w:rFonts w:ascii="Symbol" w:hAnsi="Symbol" w:hint="default"/>
      </w:r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abstractNum w:abstractNumId="11" w15:restartNumberingAfterBreak="0">
    <w:nsid w:val="5CB014F5"/>
    <w:multiLevelType w:val="hybridMultilevel"/>
    <w:tmpl w:val="39DE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FB0ABD"/>
    <w:multiLevelType w:val="hybridMultilevel"/>
    <w:tmpl w:val="4C2246AC"/>
    <w:lvl w:ilvl="0" w:tplc="C41E3B78">
      <w:start w:val="1"/>
      <w:numFmt w:val="decimal"/>
      <w:lvlText w:val="%1."/>
      <w:lvlJc w:val="left"/>
      <w:pPr>
        <w:ind w:left="460" w:hanging="260"/>
      </w:pPr>
    </w:lvl>
    <w:lvl w:ilvl="1" w:tplc="F52E670C">
      <w:numFmt w:val="decimal"/>
      <w:lvlText w:val=""/>
      <w:lvlJc w:val="left"/>
    </w:lvl>
    <w:lvl w:ilvl="2" w:tplc="BAB667A6">
      <w:numFmt w:val="decimal"/>
      <w:lvlText w:val=""/>
      <w:lvlJc w:val="left"/>
    </w:lvl>
    <w:lvl w:ilvl="3" w:tplc="A4A4CEF8">
      <w:numFmt w:val="decimal"/>
      <w:lvlText w:val=""/>
      <w:lvlJc w:val="left"/>
    </w:lvl>
    <w:lvl w:ilvl="4" w:tplc="88B29578">
      <w:numFmt w:val="decimal"/>
      <w:lvlText w:val=""/>
      <w:lvlJc w:val="left"/>
    </w:lvl>
    <w:lvl w:ilvl="5" w:tplc="BFC436FC">
      <w:numFmt w:val="decimal"/>
      <w:lvlText w:val=""/>
      <w:lvlJc w:val="left"/>
    </w:lvl>
    <w:lvl w:ilvl="6" w:tplc="B122D54C">
      <w:numFmt w:val="decimal"/>
      <w:lvlText w:val=""/>
      <w:lvlJc w:val="left"/>
    </w:lvl>
    <w:lvl w:ilvl="7" w:tplc="76980F9E">
      <w:numFmt w:val="decimal"/>
      <w:lvlText w:val=""/>
      <w:lvlJc w:val="left"/>
    </w:lvl>
    <w:lvl w:ilvl="8" w:tplc="82E4CED4">
      <w:numFmt w:val="decimal"/>
      <w:lvlText w:val=""/>
      <w:lvlJc w:val="left"/>
    </w:lvl>
  </w:abstractNum>
  <w:abstractNum w:abstractNumId="13" w15:restartNumberingAfterBreak="0">
    <w:nsid w:val="6C402870"/>
    <w:multiLevelType w:val="hybridMultilevel"/>
    <w:tmpl w:val="2F12243A"/>
    <w:lvl w:ilvl="0" w:tplc="3BA44B3C">
      <w:start w:val="1"/>
      <w:numFmt w:val="bullet"/>
      <w:lvlText w:val="—"/>
      <w:lvlJc w:val="left"/>
      <w:pPr>
        <w:ind w:left="460" w:hanging="260"/>
      </w:pPr>
    </w:lvl>
    <w:lvl w:ilvl="1" w:tplc="C212ACE4">
      <w:numFmt w:val="decimal"/>
      <w:lvlText w:val=""/>
      <w:lvlJc w:val="left"/>
    </w:lvl>
    <w:lvl w:ilvl="2" w:tplc="39723DAC">
      <w:numFmt w:val="decimal"/>
      <w:lvlText w:val=""/>
      <w:lvlJc w:val="left"/>
    </w:lvl>
    <w:lvl w:ilvl="3" w:tplc="38CEB6E6">
      <w:numFmt w:val="decimal"/>
      <w:lvlText w:val=""/>
      <w:lvlJc w:val="left"/>
    </w:lvl>
    <w:lvl w:ilvl="4" w:tplc="186AF7FE">
      <w:numFmt w:val="decimal"/>
      <w:lvlText w:val=""/>
      <w:lvlJc w:val="left"/>
    </w:lvl>
    <w:lvl w:ilvl="5" w:tplc="7A0A307A">
      <w:numFmt w:val="decimal"/>
      <w:lvlText w:val=""/>
      <w:lvlJc w:val="left"/>
    </w:lvl>
    <w:lvl w:ilvl="6" w:tplc="FDAE8EAC">
      <w:numFmt w:val="decimal"/>
      <w:lvlText w:val=""/>
      <w:lvlJc w:val="left"/>
    </w:lvl>
    <w:lvl w:ilvl="7" w:tplc="F5A4377A">
      <w:numFmt w:val="decimal"/>
      <w:lvlText w:val=""/>
      <w:lvlJc w:val="left"/>
    </w:lvl>
    <w:lvl w:ilvl="8" w:tplc="A15E3300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3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9"/>
  </w:num>
  <w:num w:numId="12">
    <w:abstractNumId w:val="4"/>
  </w:num>
  <w:num w:numId="13">
    <w:abstractNumId w:val="10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6EA"/>
    <w:rsid w:val="000444B8"/>
    <w:rsid w:val="00146776"/>
    <w:rsid w:val="001A30C5"/>
    <w:rsid w:val="00286C12"/>
    <w:rsid w:val="00286DB1"/>
    <w:rsid w:val="002C130B"/>
    <w:rsid w:val="00304BB5"/>
    <w:rsid w:val="00350EAE"/>
    <w:rsid w:val="003F0D4F"/>
    <w:rsid w:val="00483897"/>
    <w:rsid w:val="00543D7F"/>
    <w:rsid w:val="005F48E8"/>
    <w:rsid w:val="00694A40"/>
    <w:rsid w:val="007374CC"/>
    <w:rsid w:val="008F7E2F"/>
    <w:rsid w:val="009A5A7C"/>
    <w:rsid w:val="00A11781"/>
    <w:rsid w:val="00A11F70"/>
    <w:rsid w:val="00AB3415"/>
    <w:rsid w:val="00B800AD"/>
    <w:rsid w:val="00B81EE3"/>
    <w:rsid w:val="00C01733"/>
    <w:rsid w:val="00C1003E"/>
    <w:rsid w:val="00DB7200"/>
    <w:rsid w:val="00E476EA"/>
    <w:rsid w:val="00E81FC5"/>
    <w:rsid w:val="00F27056"/>
    <w:rsid w:val="00F4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C132"/>
  <w15:docId w15:val="{24B05CA8-4800-422E-AD15-B8284043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543D7F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43D7F"/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2024</Words>
  <Characters>11542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Install MS Office 2019 Std 64 bits</Company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PRONABEC</cp:lastModifiedBy>
  <cp:revision>29</cp:revision>
  <dcterms:created xsi:type="dcterms:W3CDTF">2026-09-25T23:18:00Z</dcterms:created>
  <dcterms:modified xsi:type="dcterms:W3CDTF">2026-10-18T02:21:00Z</dcterms:modified>
</cp:coreProperties>
</file>