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D7F" w:rsidRPr="00543D7F" w:rsidRDefault="00543D7F" w:rsidP="00543D7F">
      <w:pPr>
        <w:spacing w:after="200"/>
        <w:jc w:val="center"/>
        <w:rPr>
          <w:rFonts w:ascii="Times New Roman" w:hAnsi="Times New Roman" w:cs="Times New Roman"/>
        </w:rPr>
      </w:pPr>
    </w:p>
    <w:p w:rsidR="00543D7F" w:rsidRPr="00C37CDA" w:rsidRDefault="00543D7F" w:rsidP="00543D7F">
      <w:pPr>
        <w:spacing w:before="57" w:line="360" w:lineRule="auto"/>
        <w:ind w:left="307" w:right="308"/>
        <w:jc w:val="center"/>
        <w:rPr>
          <w:rFonts w:ascii="Times New Roman" w:hAnsi="Times New Roman" w:cs="Times New Roman"/>
          <w:b/>
          <w:sz w:val="40"/>
        </w:rPr>
      </w:pPr>
      <w:r w:rsidRPr="00C37CDA">
        <w:rPr>
          <w:rFonts w:ascii="Times New Roman" w:hAnsi="Times New Roman" w:cs="Times New Roman"/>
          <w:b/>
          <w:noProof/>
          <w:sz w:val="40"/>
        </w:rPr>
        <w:drawing>
          <wp:anchor distT="0" distB="0" distL="0" distR="0" simplePos="0" relativeHeight="251659264" behindDoc="1" locked="0" layoutInCell="1" allowOverlap="1" wp14:anchorId="4D8FBA0F" wp14:editId="1DE19D81">
            <wp:simplePos x="0" y="0"/>
            <wp:positionH relativeFrom="page">
              <wp:posOffset>3190875</wp:posOffset>
            </wp:positionH>
            <wp:positionV relativeFrom="paragraph">
              <wp:posOffset>937767</wp:posOffset>
            </wp:positionV>
            <wp:extent cx="1384950" cy="1613916"/>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84950" cy="1613916"/>
                    </a:xfrm>
                    <a:prstGeom prst="rect">
                      <a:avLst/>
                    </a:prstGeom>
                  </pic:spPr>
                </pic:pic>
              </a:graphicData>
            </a:graphic>
          </wp:anchor>
        </w:drawing>
      </w:r>
      <w:r w:rsidRPr="00C37CDA">
        <w:rPr>
          <w:rFonts w:ascii="Times New Roman" w:hAnsi="Times New Roman" w:cs="Times New Roman"/>
          <w:b/>
          <w:sz w:val="40"/>
        </w:rPr>
        <w:t>UNIVERSIDAD</w:t>
      </w:r>
      <w:r w:rsidRPr="00C37CDA">
        <w:rPr>
          <w:rFonts w:ascii="Times New Roman" w:hAnsi="Times New Roman" w:cs="Times New Roman"/>
          <w:b/>
          <w:spacing w:val="-10"/>
          <w:sz w:val="40"/>
        </w:rPr>
        <w:t xml:space="preserve"> </w:t>
      </w:r>
      <w:r w:rsidRPr="00C37CDA">
        <w:rPr>
          <w:rFonts w:ascii="Times New Roman" w:hAnsi="Times New Roman" w:cs="Times New Roman"/>
          <w:b/>
          <w:sz w:val="40"/>
        </w:rPr>
        <w:t>NACIONAL</w:t>
      </w:r>
      <w:r w:rsidRPr="00C37CDA">
        <w:rPr>
          <w:rFonts w:ascii="Times New Roman" w:hAnsi="Times New Roman" w:cs="Times New Roman"/>
          <w:b/>
          <w:spacing w:val="-10"/>
          <w:sz w:val="40"/>
        </w:rPr>
        <w:t xml:space="preserve"> </w:t>
      </w:r>
      <w:r w:rsidRPr="00C37CDA">
        <w:rPr>
          <w:rFonts w:ascii="Times New Roman" w:hAnsi="Times New Roman" w:cs="Times New Roman"/>
          <w:b/>
          <w:sz w:val="40"/>
        </w:rPr>
        <w:t>MAYOR</w:t>
      </w:r>
      <w:r w:rsidRPr="00C37CDA">
        <w:rPr>
          <w:rFonts w:ascii="Times New Roman" w:hAnsi="Times New Roman" w:cs="Times New Roman"/>
          <w:b/>
          <w:spacing w:val="-12"/>
          <w:sz w:val="40"/>
        </w:rPr>
        <w:t xml:space="preserve"> </w:t>
      </w:r>
      <w:r w:rsidRPr="00C37CDA">
        <w:rPr>
          <w:rFonts w:ascii="Times New Roman" w:hAnsi="Times New Roman" w:cs="Times New Roman"/>
          <w:b/>
          <w:sz w:val="40"/>
        </w:rPr>
        <w:t>DE</w:t>
      </w:r>
      <w:r w:rsidRPr="00C37CDA">
        <w:rPr>
          <w:rFonts w:ascii="Times New Roman" w:hAnsi="Times New Roman" w:cs="Times New Roman"/>
          <w:b/>
          <w:spacing w:val="-10"/>
          <w:sz w:val="40"/>
        </w:rPr>
        <w:t xml:space="preserve"> </w:t>
      </w:r>
      <w:r w:rsidRPr="00C37CDA">
        <w:rPr>
          <w:rFonts w:ascii="Times New Roman" w:hAnsi="Times New Roman" w:cs="Times New Roman"/>
          <w:b/>
          <w:sz w:val="40"/>
        </w:rPr>
        <w:t xml:space="preserve">SAN </w:t>
      </w:r>
      <w:r w:rsidRPr="00C37CDA">
        <w:rPr>
          <w:rFonts w:ascii="Times New Roman" w:hAnsi="Times New Roman" w:cs="Times New Roman"/>
          <w:b/>
          <w:spacing w:val="-2"/>
          <w:sz w:val="40"/>
        </w:rPr>
        <w:t>MARCOS</w:t>
      </w:r>
    </w:p>
    <w:p w:rsidR="00543D7F" w:rsidRPr="00C37CDA" w:rsidRDefault="00543D7F" w:rsidP="00543D7F">
      <w:pPr>
        <w:pStyle w:val="Ttulo1"/>
        <w:spacing w:line="360" w:lineRule="auto"/>
        <w:jc w:val="center"/>
        <w:rPr>
          <w:rFonts w:ascii="Times New Roman" w:hAnsi="Times New Roman" w:cs="Times New Roman"/>
          <w:color w:val="auto"/>
          <w:lang w:val="en-US"/>
        </w:rPr>
      </w:pPr>
      <w:r w:rsidRPr="00C37CDA">
        <w:rPr>
          <w:rFonts w:ascii="Times New Roman" w:hAnsi="Times New Roman" w:cs="Times New Roman"/>
          <w:color w:val="auto"/>
          <w:lang w:val="en-US"/>
        </w:rPr>
        <w:t>Doctoral</w:t>
      </w:r>
      <w:r w:rsidRPr="00C37CDA">
        <w:rPr>
          <w:rFonts w:ascii="Times New Roman" w:hAnsi="Times New Roman" w:cs="Times New Roman"/>
          <w:color w:val="auto"/>
          <w:spacing w:val="-7"/>
          <w:lang w:val="en-US"/>
        </w:rPr>
        <w:t xml:space="preserve"> </w:t>
      </w:r>
      <w:r w:rsidRPr="00C37CDA">
        <w:rPr>
          <w:rFonts w:ascii="Times New Roman" w:hAnsi="Times New Roman" w:cs="Times New Roman"/>
          <w:color w:val="auto"/>
          <w:lang w:val="en-US"/>
        </w:rPr>
        <w:t>Program</w:t>
      </w:r>
      <w:r w:rsidRPr="00C37CDA">
        <w:rPr>
          <w:rFonts w:ascii="Times New Roman" w:hAnsi="Times New Roman" w:cs="Times New Roman"/>
          <w:color w:val="auto"/>
          <w:spacing w:val="-8"/>
          <w:lang w:val="en-US"/>
        </w:rPr>
        <w:t xml:space="preserve"> </w:t>
      </w:r>
      <w:r w:rsidRPr="00C37CDA">
        <w:rPr>
          <w:rFonts w:ascii="Times New Roman" w:hAnsi="Times New Roman" w:cs="Times New Roman"/>
          <w:color w:val="auto"/>
          <w:lang w:val="en-US"/>
        </w:rPr>
        <w:t>in</w:t>
      </w:r>
      <w:r w:rsidRPr="00C37CDA">
        <w:rPr>
          <w:rFonts w:ascii="Times New Roman" w:hAnsi="Times New Roman" w:cs="Times New Roman"/>
          <w:color w:val="auto"/>
          <w:spacing w:val="-9"/>
          <w:lang w:val="en-US"/>
        </w:rPr>
        <w:t xml:space="preserve"> </w:t>
      </w:r>
      <w:r w:rsidRPr="00C37CDA">
        <w:rPr>
          <w:rFonts w:ascii="Times New Roman" w:hAnsi="Times New Roman" w:cs="Times New Roman"/>
          <w:color w:val="auto"/>
          <w:lang w:val="en-US"/>
        </w:rPr>
        <w:t>Deep</w:t>
      </w:r>
      <w:r w:rsidRPr="00C37CDA">
        <w:rPr>
          <w:rFonts w:ascii="Times New Roman" w:hAnsi="Times New Roman" w:cs="Times New Roman"/>
          <w:color w:val="auto"/>
          <w:spacing w:val="-9"/>
          <w:lang w:val="en-US"/>
        </w:rPr>
        <w:t xml:space="preserve"> </w:t>
      </w:r>
      <w:r w:rsidRPr="00C37CDA">
        <w:rPr>
          <w:rFonts w:ascii="Times New Roman" w:hAnsi="Times New Roman" w:cs="Times New Roman"/>
          <w:color w:val="auto"/>
          <w:lang w:val="en-US"/>
        </w:rPr>
        <w:t>Tech,</w:t>
      </w:r>
      <w:r w:rsidRPr="00C37CDA">
        <w:rPr>
          <w:rFonts w:ascii="Times New Roman" w:hAnsi="Times New Roman" w:cs="Times New Roman"/>
          <w:color w:val="auto"/>
          <w:spacing w:val="-8"/>
          <w:lang w:val="en-US"/>
        </w:rPr>
        <w:t xml:space="preserve"> </w:t>
      </w:r>
      <w:r w:rsidRPr="00C37CDA">
        <w:rPr>
          <w:rFonts w:ascii="Times New Roman" w:hAnsi="Times New Roman" w:cs="Times New Roman"/>
          <w:color w:val="auto"/>
          <w:lang w:val="en-US"/>
        </w:rPr>
        <w:t>Artificial Intelligence &amp; Emerging Technologies</w:t>
      </w:r>
    </w:p>
    <w:p w:rsidR="00543D7F" w:rsidRPr="00C37CDA" w:rsidRDefault="00543D7F" w:rsidP="00543D7F">
      <w:pPr>
        <w:pStyle w:val="Textoindependiente"/>
        <w:spacing w:before="104"/>
        <w:jc w:val="center"/>
        <w:rPr>
          <w:b/>
          <w:sz w:val="48"/>
        </w:rPr>
      </w:pPr>
    </w:p>
    <w:p w:rsidR="00543D7F" w:rsidRPr="00C37CDA" w:rsidRDefault="00543D7F" w:rsidP="00543D7F">
      <w:pPr>
        <w:spacing w:line="360" w:lineRule="auto"/>
        <w:ind w:left="307" w:right="308"/>
        <w:jc w:val="center"/>
        <w:rPr>
          <w:rFonts w:ascii="Times New Roman" w:hAnsi="Times New Roman" w:cs="Times New Roman"/>
          <w:b/>
          <w:sz w:val="40"/>
          <w:lang w:val="en-US"/>
        </w:rPr>
      </w:pPr>
      <w:r w:rsidRPr="00C37CDA">
        <w:rPr>
          <w:rFonts w:ascii="Times New Roman" w:hAnsi="Times New Roman" w:cs="Times New Roman"/>
          <w:b/>
          <w:sz w:val="40"/>
          <w:lang w:val="en-US"/>
        </w:rPr>
        <w:t>Research</w:t>
      </w:r>
      <w:r w:rsidRPr="00C37CDA">
        <w:rPr>
          <w:rFonts w:ascii="Times New Roman" w:hAnsi="Times New Roman" w:cs="Times New Roman"/>
          <w:b/>
          <w:spacing w:val="-7"/>
          <w:sz w:val="40"/>
          <w:lang w:val="en-US"/>
        </w:rPr>
        <w:t xml:space="preserve"> </w:t>
      </w:r>
      <w:r w:rsidRPr="00C37CDA">
        <w:rPr>
          <w:rFonts w:ascii="Times New Roman" w:hAnsi="Times New Roman" w:cs="Times New Roman"/>
          <w:b/>
          <w:sz w:val="40"/>
          <w:lang w:val="en-US"/>
        </w:rPr>
        <w:t>Methods</w:t>
      </w:r>
      <w:r w:rsidRPr="00C37CDA">
        <w:rPr>
          <w:rFonts w:ascii="Times New Roman" w:hAnsi="Times New Roman" w:cs="Times New Roman"/>
          <w:b/>
          <w:spacing w:val="-7"/>
          <w:sz w:val="40"/>
          <w:lang w:val="en-US"/>
        </w:rPr>
        <w:t xml:space="preserve"> </w:t>
      </w:r>
      <w:r w:rsidRPr="00C37CDA">
        <w:rPr>
          <w:rFonts w:ascii="Times New Roman" w:hAnsi="Times New Roman" w:cs="Times New Roman"/>
          <w:b/>
          <w:sz w:val="40"/>
          <w:lang w:val="en-US"/>
        </w:rPr>
        <w:t>and</w:t>
      </w:r>
      <w:r w:rsidRPr="00C37CDA">
        <w:rPr>
          <w:rFonts w:ascii="Times New Roman" w:hAnsi="Times New Roman" w:cs="Times New Roman"/>
          <w:b/>
          <w:spacing w:val="-7"/>
          <w:sz w:val="40"/>
          <w:lang w:val="en-US"/>
        </w:rPr>
        <w:t xml:space="preserve"> </w:t>
      </w:r>
      <w:r w:rsidRPr="00C37CDA">
        <w:rPr>
          <w:rFonts w:ascii="Times New Roman" w:hAnsi="Times New Roman" w:cs="Times New Roman"/>
          <w:b/>
          <w:sz w:val="40"/>
          <w:lang w:val="en-US"/>
        </w:rPr>
        <w:t>Scientific</w:t>
      </w:r>
      <w:r w:rsidRPr="00C37CDA">
        <w:rPr>
          <w:rFonts w:ascii="Times New Roman" w:hAnsi="Times New Roman" w:cs="Times New Roman"/>
          <w:b/>
          <w:spacing w:val="-7"/>
          <w:sz w:val="40"/>
          <w:lang w:val="en-US"/>
        </w:rPr>
        <w:t xml:space="preserve"> </w:t>
      </w:r>
      <w:r w:rsidRPr="00C37CDA">
        <w:rPr>
          <w:rFonts w:ascii="Times New Roman" w:hAnsi="Times New Roman" w:cs="Times New Roman"/>
          <w:b/>
          <w:sz w:val="40"/>
          <w:lang w:val="en-US"/>
        </w:rPr>
        <w:t>Integrity</w:t>
      </w:r>
      <w:r w:rsidRPr="00C37CDA">
        <w:rPr>
          <w:rFonts w:ascii="Times New Roman" w:hAnsi="Times New Roman" w:cs="Times New Roman"/>
          <w:b/>
          <w:spacing w:val="-5"/>
          <w:sz w:val="40"/>
          <w:lang w:val="en-US"/>
        </w:rPr>
        <w:t xml:space="preserve"> </w:t>
      </w:r>
      <w:r w:rsidRPr="00C37CDA">
        <w:rPr>
          <w:rFonts w:ascii="Times New Roman" w:hAnsi="Times New Roman" w:cs="Times New Roman"/>
          <w:b/>
          <w:sz w:val="40"/>
          <w:lang w:val="en-US"/>
        </w:rPr>
        <w:t>in</w:t>
      </w:r>
      <w:r w:rsidRPr="00C37CDA">
        <w:rPr>
          <w:rFonts w:ascii="Times New Roman" w:hAnsi="Times New Roman" w:cs="Times New Roman"/>
          <w:b/>
          <w:spacing w:val="-5"/>
          <w:sz w:val="40"/>
          <w:lang w:val="en-US"/>
        </w:rPr>
        <w:t xml:space="preserve"> </w:t>
      </w:r>
      <w:r w:rsidRPr="00C37CDA">
        <w:rPr>
          <w:rFonts w:ascii="Times New Roman" w:hAnsi="Times New Roman" w:cs="Times New Roman"/>
          <w:b/>
          <w:sz w:val="40"/>
          <w:lang w:val="en-US"/>
        </w:rPr>
        <w:t>AI and Advanced Technologies</w:t>
      </w:r>
    </w:p>
    <w:p w:rsidR="00543D7F" w:rsidRPr="00C37CDA" w:rsidRDefault="00543D7F" w:rsidP="00543D7F">
      <w:pPr>
        <w:spacing w:before="381" w:line="391" w:lineRule="auto"/>
        <w:ind w:right="4"/>
        <w:jc w:val="center"/>
        <w:rPr>
          <w:rFonts w:ascii="Times New Roman" w:hAnsi="Times New Roman" w:cs="Times New Roman"/>
          <w:b/>
          <w:sz w:val="27"/>
          <w:lang w:val="en-US"/>
        </w:rPr>
      </w:pPr>
      <w:r w:rsidRPr="00C37CDA">
        <w:rPr>
          <w:rFonts w:ascii="Times New Roman" w:hAnsi="Times New Roman" w:cs="Times New Roman"/>
          <w:b/>
          <w:sz w:val="27"/>
          <w:lang w:val="en-US"/>
        </w:rPr>
        <w:t xml:space="preserve">DELIVERABLE No. 3: </w:t>
      </w:r>
      <w:r w:rsidR="00A11781" w:rsidRPr="00C37CDA">
        <w:rPr>
          <w:rFonts w:ascii="Times New Roman" w:hAnsi="Times New Roman" w:cs="Times New Roman"/>
          <w:b/>
          <w:sz w:val="27"/>
          <w:lang w:val="en-US"/>
        </w:rPr>
        <w:t>Research Protocol Development</w:t>
      </w:r>
    </w:p>
    <w:p w:rsidR="00543D7F" w:rsidRPr="00C37CDA" w:rsidRDefault="00543D7F" w:rsidP="00543D7F">
      <w:pPr>
        <w:pStyle w:val="Textoindependiente"/>
        <w:jc w:val="center"/>
        <w:rPr>
          <w:b/>
          <w:sz w:val="27"/>
        </w:rPr>
      </w:pPr>
    </w:p>
    <w:p w:rsidR="00543D7F" w:rsidRPr="00C37CDA" w:rsidRDefault="00543D7F" w:rsidP="00543D7F">
      <w:pPr>
        <w:pStyle w:val="Textoindependiente"/>
        <w:spacing w:before="131"/>
        <w:jc w:val="center"/>
        <w:rPr>
          <w:b/>
          <w:sz w:val="27"/>
        </w:rPr>
      </w:pPr>
    </w:p>
    <w:p w:rsidR="00543D7F" w:rsidRPr="00C37CDA" w:rsidRDefault="00543D7F" w:rsidP="00543D7F">
      <w:pPr>
        <w:tabs>
          <w:tab w:val="left" w:pos="3204"/>
        </w:tabs>
        <w:ind w:left="530"/>
        <w:jc w:val="center"/>
        <w:rPr>
          <w:rFonts w:ascii="Times New Roman" w:hAnsi="Times New Roman" w:cs="Times New Roman"/>
          <w:b/>
          <w:sz w:val="27"/>
          <w:lang w:val="en-US"/>
        </w:rPr>
      </w:pPr>
      <w:r w:rsidRPr="00C37CDA">
        <w:rPr>
          <w:rFonts w:ascii="Times New Roman" w:hAnsi="Times New Roman" w:cs="Times New Roman"/>
          <w:b/>
          <w:sz w:val="27"/>
          <w:lang w:val="en-US"/>
        </w:rPr>
        <w:t>Course</w:t>
      </w:r>
      <w:r w:rsidRPr="00C37CDA">
        <w:rPr>
          <w:rFonts w:ascii="Times New Roman" w:hAnsi="Times New Roman" w:cs="Times New Roman"/>
          <w:b/>
          <w:spacing w:val="-3"/>
          <w:sz w:val="27"/>
          <w:lang w:val="en-US"/>
        </w:rPr>
        <w:t xml:space="preserve"> </w:t>
      </w:r>
      <w:r w:rsidRPr="00C37CDA">
        <w:rPr>
          <w:rFonts w:ascii="Times New Roman" w:hAnsi="Times New Roman" w:cs="Times New Roman"/>
          <w:b/>
          <w:spacing w:val="-2"/>
          <w:sz w:val="27"/>
          <w:lang w:val="en-US"/>
        </w:rPr>
        <w:t>Instructor</w:t>
      </w:r>
      <w:r w:rsidRPr="00C37CDA">
        <w:rPr>
          <w:rFonts w:ascii="Times New Roman" w:hAnsi="Times New Roman" w:cs="Times New Roman"/>
          <w:b/>
          <w:sz w:val="27"/>
          <w:lang w:val="en-US"/>
        </w:rPr>
        <w:t>: Dr.</w:t>
      </w:r>
      <w:r w:rsidRPr="00C37CDA">
        <w:rPr>
          <w:rFonts w:ascii="Times New Roman" w:hAnsi="Times New Roman" w:cs="Times New Roman"/>
          <w:b/>
          <w:spacing w:val="-5"/>
          <w:sz w:val="27"/>
          <w:lang w:val="en-US"/>
        </w:rPr>
        <w:t xml:space="preserve"> </w:t>
      </w:r>
      <w:r w:rsidRPr="00C37CDA">
        <w:rPr>
          <w:rFonts w:ascii="Times New Roman" w:hAnsi="Times New Roman" w:cs="Times New Roman"/>
          <w:b/>
          <w:sz w:val="27"/>
          <w:lang w:val="en-US"/>
        </w:rPr>
        <w:t>Loveleen</w:t>
      </w:r>
      <w:r w:rsidRPr="00C37CDA">
        <w:rPr>
          <w:rFonts w:ascii="Times New Roman" w:hAnsi="Times New Roman" w:cs="Times New Roman"/>
          <w:b/>
          <w:spacing w:val="-6"/>
          <w:sz w:val="27"/>
          <w:lang w:val="en-US"/>
        </w:rPr>
        <w:t xml:space="preserve"> </w:t>
      </w:r>
      <w:r w:rsidRPr="00C37CDA">
        <w:rPr>
          <w:rFonts w:ascii="Times New Roman" w:hAnsi="Times New Roman" w:cs="Times New Roman"/>
          <w:b/>
          <w:spacing w:val="-4"/>
          <w:sz w:val="27"/>
          <w:lang w:val="en-US"/>
        </w:rPr>
        <w:t>Gaur</w:t>
      </w:r>
    </w:p>
    <w:p w:rsidR="00543D7F" w:rsidRPr="00C37CDA" w:rsidRDefault="00543D7F" w:rsidP="00543D7F">
      <w:pPr>
        <w:pStyle w:val="Textoindependiente"/>
        <w:spacing w:before="133"/>
        <w:jc w:val="center"/>
        <w:rPr>
          <w:b/>
          <w:sz w:val="27"/>
        </w:rPr>
      </w:pPr>
    </w:p>
    <w:p w:rsidR="00543D7F" w:rsidRPr="00C37CDA" w:rsidRDefault="00543D7F" w:rsidP="00543D7F">
      <w:pPr>
        <w:tabs>
          <w:tab w:val="left" w:pos="3204"/>
        </w:tabs>
        <w:ind w:left="530"/>
        <w:jc w:val="center"/>
        <w:rPr>
          <w:rFonts w:ascii="Times New Roman" w:hAnsi="Times New Roman" w:cs="Times New Roman"/>
          <w:b/>
          <w:sz w:val="27"/>
        </w:rPr>
      </w:pPr>
      <w:proofErr w:type="spellStart"/>
      <w:r w:rsidRPr="00C37CDA">
        <w:rPr>
          <w:rFonts w:ascii="Times New Roman" w:hAnsi="Times New Roman" w:cs="Times New Roman"/>
          <w:b/>
          <w:spacing w:val="-2"/>
          <w:sz w:val="27"/>
        </w:rPr>
        <w:t>Student</w:t>
      </w:r>
      <w:proofErr w:type="spellEnd"/>
      <w:r w:rsidRPr="00C37CDA">
        <w:rPr>
          <w:rFonts w:ascii="Times New Roman" w:hAnsi="Times New Roman" w:cs="Times New Roman"/>
          <w:b/>
          <w:spacing w:val="-2"/>
          <w:sz w:val="27"/>
        </w:rPr>
        <w:t>:</w:t>
      </w:r>
      <w:r w:rsidRPr="00C37CDA">
        <w:rPr>
          <w:rFonts w:ascii="Times New Roman" w:hAnsi="Times New Roman" w:cs="Times New Roman"/>
          <w:b/>
          <w:sz w:val="27"/>
        </w:rPr>
        <w:t xml:space="preserve"> Félix Richar Mendoza Pumacahua</w:t>
      </w:r>
    </w:p>
    <w:p w:rsidR="00543D7F" w:rsidRPr="00C37CDA" w:rsidRDefault="00543D7F" w:rsidP="00543D7F">
      <w:pPr>
        <w:pStyle w:val="Textoindependiente"/>
        <w:jc w:val="center"/>
        <w:rPr>
          <w:b/>
          <w:sz w:val="27"/>
          <w:lang w:val="es-PE"/>
        </w:rPr>
      </w:pPr>
    </w:p>
    <w:p w:rsidR="00543D7F" w:rsidRPr="00C37CDA" w:rsidRDefault="00543D7F" w:rsidP="00543D7F">
      <w:pPr>
        <w:pStyle w:val="Textoindependiente"/>
        <w:jc w:val="center"/>
        <w:rPr>
          <w:b/>
          <w:sz w:val="27"/>
          <w:lang w:val="es-PE"/>
        </w:rPr>
      </w:pPr>
    </w:p>
    <w:p w:rsidR="00543D7F" w:rsidRPr="00C37CDA" w:rsidRDefault="00543D7F" w:rsidP="00543D7F">
      <w:pPr>
        <w:pStyle w:val="Textoindependiente"/>
        <w:spacing w:before="270"/>
        <w:jc w:val="center"/>
        <w:rPr>
          <w:b/>
          <w:sz w:val="27"/>
          <w:lang w:val="es-PE"/>
        </w:rPr>
      </w:pPr>
    </w:p>
    <w:p w:rsidR="00543D7F" w:rsidRPr="00C37CDA" w:rsidRDefault="00543D7F" w:rsidP="00543D7F">
      <w:pPr>
        <w:pStyle w:val="Ttulo2"/>
        <w:jc w:val="center"/>
        <w:rPr>
          <w:rFonts w:ascii="Times New Roman" w:hAnsi="Times New Roman" w:cs="Times New Roman"/>
          <w:color w:val="auto"/>
        </w:rPr>
      </w:pPr>
      <w:r w:rsidRPr="00C37CDA">
        <w:rPr>
          <w:rFonts w:ascii="Times New Roman" w:hAnsi="Times New Roman" w:cs="Times New Roman"/>
          <w:color w:val="auto"/>
        </w:rPr>
        <w:t>2026</w:t>
      </w:r>
      <w:r w:rsidRPr="00C37CDA">
        <w:rPr>
          <w:rFonts w:ascii="Times New Roman" w:hAnsi="Times New Roman" w:cs="Times New Roman"/>
          <w:color w:val="auto"/>
          <w:spacing w:val="-2"/>
        </w:rPr>
        <w:t xml:space="preserve"> </w:t>
      </w:r>
      <w:r w:rsidRPr="00C37CDA">
        <w:rPr>
          <w:rFonts w:ascii="Times New Roman" w:hAnsi="Times New Roman" w:cs="Times New Roman"/>
          <w:color w:val="auto"/>
        </w:rPr>
        <w:t>-</w:t>
      </w:r>
      <w:r w:rsidRPr="00C37CDA">
        <w:rPr>
          <w:rFonts w:ascii="Times New Roman" w:hAnsi="Times New Roman" w:cs="Times New Roman"/>
          <w:color w:val="auto"/>
          <w:spacing w:val="-1"/>
        </w:rPr>
        <w:t xml:space="preserve"> </w:t>
      </w:r>
      <w:r w:rsidRPr="00C37CDA">
        <w:rPr>
          <w:rFonts w:ascii="Times New Roman" w:hAnsi="Times New Roman" w:cs="Times New Roman"/>
          <w:color w:val="auto"/>
          <w:spacing w:val="-5"/>
        </w:rPr>
        <w:t>II</w:t>
      </w:r>
    </w:p>
    <w:p w:rsidR="00543D7F" w:rsidRPr="00C37CDA" w:rsidRDefault="00543D7F">
      <w:pPr>
        <w:spacing w:after="200"/>
        <w:jc w:val="center"/>
      </w:pPr>
    </w:p>
    <w:p w:rsidR="00543D7F" w:rsidRPr="00C37CDA" w:rsidRDefault="00543D7F">
      <w:r w:rsidRPr="00C37CDA">
        <w:br w:type="page"/>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8"/>
          <w:szCs w:val="28"/>
        </w:rPr>
        <w:t>1. Title</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Proposed title</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Reference Architecture Based on Specialized Generative AI Agents for the Governed Development and Conformance Verification of Critical State Information Systems: An Application Case in the Peruvian Pension System.</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Short title</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Reference architecture with governed generative AI agents for critical State information systems.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Classification / type of study</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Applied research in Design Science Research (DSR). This is neither a pure experimental design nor a purely interpretivist study; it is classified as artifact design-and-evaluation research (Hevner et al., 2004; Peffers et al., 2007).</w:t>
      </w:r>
      <w:proofErr w:type="spellStart"/>
      <w:proofErr w:type="spellEnd"/>
      <w:proofErr w:type="spellStart"/>
      <w:proofErr w:type="spellEnd"/>
      <w:proofErr w:type="spellStart"/>
      <w:proofErr w:type="spellEnd"/>
      <w:proofErr w:type="spellStart"/>
      <w:proofErr w:type="spellEnd"/>
      <w:proofErr w:type="spellStart"/>
      <w:proofErr w:type="spellEnd"/>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2. Abstract</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Peruvian public entities are increasingly incorporating generative artificial intelligence (AI) into the development of critical information systems, but this integration remains largely unstructured and weakly governed, raising the risk of regulatory non-compliance and failures in essential services. Following a Design Science Research (DSR) approach, this study designs and evaluates a reference architecture that incorporates specialized generative AI agents as governed components of the development process, explicitly separating the generation and verification functions through a conformance principle. The artifact is restricted to the development and verification phases, not to production execution, and its constraints are anchored in Law No. 29733 on the Protection of Personal Data, Law No. 31814 promoting the use of artificial intelligence, and the NTP-ISO/IEC 42001:2025 standard on AI management systems. The artifact will be evaluated through a functional prototype applied to the context of the Peruvian pension system, comparing the performance of a two-agent pipeline (generator and independent, at least partially deterministic, verifier) against a single-agent generation baseline, using as metrics the precision and recall of conformance-violation detection, the defect escape rate, rework effort, and lead time. The evaluation will be complemented by a scenario-based architecture exercise with expert participation. The results are expected to yield a reference architecture and transferable design principles for the governed development of information systems in the public sector, with potential dissemination in venues such as IEEE Software, Journal of Systems and Software, Government Information Quarterly, DESRIST, and ECSA.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3. Introduction and Problem Statement</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Context</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Peruvian public entities use information systems to support their mission-critical and support processes, and they increasingly incorporate artificial intelligence (AI) into their development, even though this integration remains largely unstructured and weakly governed. There are no systematic mechanisms to verify that code and artifacts generated by AI comply with the enterprise architecture and applicable regulations before advancing through the software lifecycle.</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Problem statement</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In information systems that support essential State services — such as the Peruvian pension system, this lack of governance over the use of generative AI in development constitutes a concrete risk to the quality and timeliness of services, the protection of personal data, and operational continuity. The research problem can be formulated as follows: how should the use of generative AI agents within the software development cycle be structured so that their conformance with the enterprise architecture and applicable regulations can be verified systematically, and as deterministically as possible, without compromising the continuity of public services or the confidentiality of the sensitive information they process?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Rationale</w:t>
      </w:r>
    </w:p>
    <w:p w:rsidR="00E476EA" w:rsidRPr="00C37CDA" w:rsidRDefault="00A11781" w:rsidP="00B800AD">
      <w:pPr>
        <w:pStyle w:val="Prrafodelista"/>
        <w:numPr>
          <w:ilvl w:val="0"/>
          <w:numId w:val="7"/>
        </w:numPr>
        <w:spacing w:after="120" w:line="300" w:lineRule="auto"/>
        <w:rPr>
          <w:rFonts w:ascii="Times New Roman" w:hAnsi="Times New Roman" w:cs="Times New Roman"/>
        </w:rPr>
      </w:pPr>
      <w:r w:rsidRPr="00C37CDA">
        <w:rPr>
          <w:rFonts w:ascii="Times New Roman" w:hAnsi="Times New Roman" w:cs="Times New Roman"/>
        </w:rPr>
        <w:t>Practical relevance: the reliance on critical State systems demands assurance mechanisms that do not yet exist in standardized form for AI-assisted development.</w:t>
      </w:r>
    </w:p>
    <w:p w:rsidR="00E476EA" w:rsidRPr="00C37CDA" w:rsidRDefault="00A11781" w:rsidP="00B800AD">
      <w:pPr>
        <w:pStyle w:val="Prrafodelista"/>
        <w:numPr>
          <w:ilvl w:val="0"/>
          <w:numId w:val="7"/>
        </w:numPr>
        <w:spacing w:after="120" w:line="300" w:lineRule="auto"/>
        <w:rPr>
          <w:rFonts w:ascii="Times New Roman" w:hAnsi="Times New Roman" w:cs="Times New Roman"/>
        </w:rPr>
      </w:pPr>
      <w:r w:rsidRPr="00C37CDA">
        <w:rPr>
          <w:rFonts w:ascii="Times New Roman" w:hAnsi="Times New Roman" w:cs="Times New Roman"/>
        </w:rPr>
        <w:t>Theoretical relevance: a reference architecture is needed, not merely a one-off implementation, that documents design principles transferable to other public-administration contexts.</w:t>
      </w:r>
    </w:p>
    <w:p w:rsidR="00E476EA" w:rsidRPr="00C37CDA" w:rsidRDefault="00A11781" w:rsidP="00B800AD">
      <w:pPr>
        <w:pStyle w:val="Prrafodelista"/>
        <w:numPr>
          <w:ilvl w:val="0"/>
          <w:numId w:val="7"/>
        </w:numPr>
        <w:spacing w:after="120" w:line="300" w:lineRule="auto"/>
        <w:rPr>
          <w:rFonts w:ascii="Times New Roman" w:hAnsi="Times New Roman" w:cs="Times New Roman"/>
        </w:rPr>
      </w:pPr>
      <w:r w:rsidRPr="00C37CDA">
        <w:rPr>
          <w:rFonts w:ascii="Times New Roman" w:hAnsi="Times New Roman" w:cs="Times New Roman"/>
        </w:rPr>
        <w:t>Regulatory relevance: Law No. 31814 and NTP-ISO/IEC 42001:2025 establish an AI governance framework that has yet to be translated into concrete software-development architectures in the Peruvian public sector.</w:t>
      </w:r>
      <w:proofErr w:type="spellStart"/>
      <w:proofErr w:type="spellEnd"/>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Scope and delimitation</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The artifact operates exclusively in the development and verification phases of the software lifecycle, not in production execution. The agents will run preferably in local, controlled environments, with access restricted to only the strictly necessary code and data, at all times restricting the use of identifiable personal data from the pension system.</w:t>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4. Literature Review</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The preliminary review is organized into five thematic clusters that frame the contribution of this research. This initial synthesis will be expanded during the problem-identification phase of the DSR cycle (Section 6) through a formal systematic or scoping review.</w:t>
      </w:r>
      <w:proofErr w:type="spellStart"/>
      <w:proofErr w:type="spellEnd"/>
      <w:proofErr w:type="spellStart"/>
      <w:proofErr w:type="spellEnd"/>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4.1 Enterprise architecture and reference architectures in the public sector</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The enterprise-architecture literature provides the governance principles and architectural views that allow AI agents to be treated as governed components, rather than as black boxes external to the system, within a reference architecture for State entities. It is important to highlight the alignment of this enterprise architecture with Supreme Decree No. 029-2021-PCM, which approves the Regulations of Legislative Decree No. 1412, the Digital Government Law, establishing provisions on the conditions, requirements, and use of technologies and electronic means in administrative procedures, particularly under TITLE VIII, DIGITAL ARCHITECTURE.</w:t>
      </w:r>
      <w:proofErr w:type="spellStart"/>
      <w:proofErr w:type="spellEnd"/>
      <w:proofErr w:type="spellStart"/>
      <w:proofErr w:type="spellEnd"/>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4.2 Generative AI agents in software engineering</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A growing body of work explores the use of generative models for code generation and development artifacts, as well as multi-agent architectures in which distinct specialized agents fulfill differentiated roles within the development cycle.</w:t>
      </w:r>
      <w:proofErr w:type="spellStart"/>
      <w:proofErr w:type="spellEnd"/>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4.3 Conformance verification, static analysis, and policy-as-code</w:t>
      </w:r>
      <w:proofErr w:type="spellStart"/>
      <w:proofErr w:type="spellEnd"/>
      <w:proofErr w:type="spellStart"/>
      <w:proofErr w:type="spellEnd"/>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Static-analysis and policy-as-code techniques provide the foundation for a verification mechanism that does not depend solely on one generative model detecting another's errors, thereby mitigating the correlation of failures between generator and verifier.</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4.4 AI governance and the Peruvian regulatory framework</w:t>
      </w:r>
    </w:p>
    <w:p w:rsidR="00304BB5" w:rsidRPr="00C37CDA" w:rsidRDefault="00A11781" w:rsidP="00304BB5">
      <w:pPr>
        <w:spacing w:after="200" w:line="300" w:lineRule="auto"/>
        <w:jc w:val="both"/>
        <w:rPr>
          <w:rFonts w:ascii="Times New Roman" w:hAnsi="Times New Roman" w:cs="Times New Roman"/>
        </w:rPr>
      </w:pPr>
      <w:r w:rsidRPr="00C37CDA">
        <w:rPr>
          <w:rFonts w:ascii="Times New Roman" w:hAnsi="Times New Roman" w:cs="Times New Roman"/>
        </w:rPr>
        <w:t>Law No. 29733 (Protection of Personal Data), Law No. 31814 (promoting the use of artificial intelligence), and NTP-ISO/IEC 42001:2025 (AI management systems) constitute the regulatory framework that anchors the conformance requirements of the proposed artifact. Supreme Decree No. 029-2021-PCM, which approves the Regulations of Legislative Decree No. 1412, the Digital Government Law, TITLE VIII, DIGITAL ARCHITECTURE, is also part of this framework.</w:t>
      </w:r>
      <w:proofErr w:type="spellStart"/>
      <w:proofErr w:type="spellEnd"/>
      <w:proofErr w:type="spellStart"/>
      <w:proofErr w:type="spellEnd"/>
      <w:proofErr w:type="spellStart"/>
      <w:proofErr w:type="spellEnd"/>
      <w:proofErr w:type="spellStart"/>
      <w:proofErr w:type="spellEnd"/>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4.5 Methodological foundations of Design Science Research</w:t>
      </w:r>
      <w:proofErr w:type="spellStart"/>
      <w:proofErr w:type="spellEnd"/>
      <w:proofErr w:type="spellStart"/>
      <w:proofErr w:type="spellEnd"/>
      <w:proofErr w:type="spellStart"/>
      <w:proofErr w:type="spellEnd"/>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The work of Hevner et al. (2004), Peffers et al. (2007), and Gregor and Hevner (2013) underpins the paradigmatic choice (documented in the Paradigm Justification Statement deliverable) and the six-activity methodology adopted in Section 6 of this protocol.</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Research gap</w:t>
      </w:r>
      <w:proofErr w:type="spellStart"/>
      <w:proofErr w:type="spellEnd"/>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The preliminary review did not identify a reference architecture that combines (a) specialized, governed generative AI agents, (b) a conformance principle that is at least partially deterministic and independent of the generative process itself, and (c) empirical evaluation in a real case of a critical State information system within a regulated Latin American context. This is the gap that the present research seeks to close.</w:t>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5. Research Questions, Design Propositions, and Objectives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Main research question</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How should a reference architecture based on specialized generative AI agents be structured to automate and verify the development of critical state information systems, ensuring their compliance with the enterprise architecture and applicable regulations?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Secondary questions</w:t>
      </w:r>
    </w:p>
    <w:p w:rsidR="00E476EA" w:rsidRPr="00C37CDA" w:rsidRDefault="00A11781">
      <w:pPr>
        <w:pStyle w:val="Prrafodelista"/>
        <w:numPr>
          <w:ilvl w:val="0"/>
          <w:numId w:val="3"/>
        </w:numPr>
        <w:spacing w:after="120" w:line="300" w:lineRule="auto"/>
        <w:rPr>
          <w:rFonts w:ascii="Times New Roman" w:hAnsi="Times New Roman" w:cs="Times New Roman"/>
        </w:rPr>
      </w:pPr>
      <w:r w:rsidRPr="00C37CDA">
        <w:rPr>
          <w:rFonts w:ascii="Times New Roman" w:hAnsi="Times New Roman" w:cs="Times New Roman"/>
        </w:rPr>
        <w:t>What architectural principles and constraints must the artifact incorporate to be governable and auditable?</w:t>
      </w:r>
    </w:p>
    <w:p w:rsidR="00E476EA" w:rsidRPr="00C37CDA" w:rsidRDefault="00A11781">
      <w:pPr>
        <w:pStyle w:val="Prrafodelista"/>
        <w:numPr>
          <w:ilvl w:val="0"/>
          <w:numId w:val="3"/>
        </w:numPr>
        <w:spacing w:after="120" w:line="300" w:lineRule="auto"/>
        <w:rPr>
          <w:rFonts w:ascii="Times New Roman" w:hAnsi="Times New Roman" w:cs="Times New Roman"/>
        </w:rPr>
      </w:pPr>
      <w:r w:rsidRPr="00C37CDA">
        <w:rPr>
          <w:rFonts w:ascii="Times New Roman" w:hAnsi="Times New Roman" w:cs="Times New Roman"/>
        </w:rPr>
        <w:t>What conformance-verification techniques (static analysis, policy as code, rule-checking) reduce the reliance on one generative model detecting another's errors?</w:t>
      </w:r>
    </w:p>
    <w:p w:rsidR="00E476EA" w:rsidRPr="00C37CDA" w:rsidRDefault="00A11781">
      <w:pPr>
        <w:pStyle w:val="Prrafodelista"/>
        <w:numPr>
          <w:ilvl w:val="0"/>
          <w:numId w:val="3"/>
        </w:numPr>
        <w:spacing w:after="120" w:line="300" w:lineRule="auto"/>
        <w:rPr>
          <w:rFonts w:ascii="Times New Roman" w:hAnsi="Times New Roman" w:cs="Times New Roman"/>
        </w:rPr>
      </w:pPr>
      <w:r w:rsidRPr="00C37CDA">
        <w:rPr>
          <w:rFonts w:ascii="Times New Roman" w:hAnsi="Times New Roman" w:cs="Times New Roman"/>
        </w:rPr>
        <w:t>To what extent does a two-agent pipeline (generator and independent verifier) improve, relative to a single-agent baseline, the detection of conformance violations, the defect escape rate, rework effort, and lead time?</w:t>
      </w:r>
    </w:p>
    <w:p w:rsidR="00E476EA" w:rsidRPr="00C37CDA" w:rsidRDefault="00A11781">
      <w:pPr>
        <w:pStyle w:val="Prrafodelista"/>
        <w:numPr>
          <w:ilvl w:val="0"/>
          <w:numId w:val="3"/>
        </w:numPr>
        <w:spacing w:after="120" w:line="300" w:lineRule="auto"/>
        <w:rPr>
          <w:rFonts w:ascii="Times New Roman" w:hAnsi="Times New Roman" w:cs="Times New Roman"/>
        </w:rPr>
      </w:pPr>
      <w:r w:rsidRPr="00C37CDA">
        <w:rPr>
          <w:rFonts w:ascii="Times New Roman" w:hAnsi="Times New Roman" w:cs="Times New Roman"/>
        </w:rPr>
        <w:t>How do architecture and domain experts perceive the usefulness, feasibility, and risks of the artifact in a scenario-based evaluation exercise?</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Design propositions</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Consistent with the DSR approach adopted (see the Paradigm Justification Statement deliverable), this protocol does not formulate hypotheses in the positivist sense, but rather testable design propositions:</w:t>
      </w:r>
      <w:proofErr w:type="spellStart"/>
      <w:proofErr w:type="spellEnd"/>
      <w:proofErr w:type="spellStart"/>
      <w:proofErr w:type="spellEnd"/>
      <w:proofErr w:type="spellStart"/>
      <w:proofErr w:type="spellEnd"/>
    </w:p>
    <w:p w:rsidR="00E476EA" w:rsidRPr="00C37CDA" w:rsidRDefault="00A11781" w:rsidP="00286DB1">
      <w:pPr>
        <w:pStyle w:val="Prrafodelista"/>
        <w:numPr>
          <w:ilvl w:val="0"/>
          <w:numId w:val="8"/>
        </w:numPr>
        <w:spacing w:after="120" w:line="300" w:lineRule="auto"/>
        <w:rPr>
          <w:rFonts w:ascii="Times New Roman" w:hAnsi="Times New Roman" w:cs="Times New Roman"/>
        </w:rPr>
      </w:pPr>
      <w:r w:rsidRPr="00C37CDA">
        <w:rPr>
          <w:rFonts w:ascii="Times New Roman" w:hAnsi="Times New Roman" w:cs="Times New Roman"/>
        </w:rPr>
        <w:t>P1: a two-agent pipeline with independent, at least partially deterministic verification will achieve higher precision and recall in detecting conformance violations than single-agent generation without independent verification.</w:t>
      </w:r>
    </w:p>
    <w:p w:rsidR="00E476EA" w:rsidRPr="00C37CDA" w:rsidRDefault="00A11781" w:rsidP="00286DB1">
      <w:pPr>
        <w:pStyle w:val="Prrafodelista"/>
        <w:numPr>
          <w:ilvl w:val="0"/>
          <w:numId w:val="8"/>
        </w:numPr>
        <w:spacing w:after="120" w:line="300" w:lineRule="auto"/>
        <w:rPr>
          <w:rFonts w:ascii="Times New Roman" w:hAnsi="Times New Roman" w:cs="Times New Roman"/>
        </w:rPr>
      </w:pPr>
      <w:r w:rsidRPr="00C37CDA">
        <w:rPr>
          <w:rFonts w:ascii="Times New Roman" w:hAnsi="Times New Roman" w:cs="Times New Roman"/>
        </w:rPr>
        <w:t>P2: the two-agent pipeline will reduce the defect escape rate and rework effort relative to the baseline.</w:t>
      </w:r>
    </w:p>
    <w:p w:rsidR="00E476EA" w:rsidRPr="00C37CDA" w:rsidRDefault="00A11781" w:rsidP="00286DB1">
      <w:pPr>
        <w:pStyle w:val="Prrafodelista"/>
        <w:numPr>
          <w:ilvl w:val="0"/>
          <w:numId w:val="8"/>
        </w:numPr>
        <w:spacing w:after="120" w:line="300" w:lineRule="auto"/>
        <w:rPr>
          <w:rFonts w:ascii="Times New Roman" w:hAnsi="Times New Roman" w:cs="Times New Roman"/>
        </w:rPr>
      </w:pPr>
      <w:r w:rsidRPr="00C37CDA">
        <w:rPr>
          <w:rFonts w:ascii="Times New Roman" w:hAnsi="Times New Roman" w:cs="Times New Roman"/>
        </w:rPr>
        <w:t>P3: architecture and domain experts will rate the reference architecture as useful and feasible in the scenario-based evaluation, identifying manageable risks.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General objective</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To design and evaluate a reference architecture based on specialized generative AI agents, governed by a conformance principle, for the development and verification of critical State information systems, through an application case in the Peruvian pension system.</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Specific objectives</w:t>
      </w:r>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Systematize the architectural and regulatory requirements (Law No. 29733, Law No. 31814, NTP-ISO/IEC 42001:2025) that the reference architecture must satisfy.</w:t>
      </w:r>
      <w:proofErr w:type="spellStart"/>
      <w:proofErr w:type="spellEnd"/>
      <w:proofErr w:type="spellStart"/>
      <w:proofErr w:type="spellEnd"/>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Design the artifact, reference architecture and conformance-verification mechanism, following enterprise-architecture principles.</w:t>
      </w:r>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Implement a functional prototype of the generation/verification pipeline in a local, controlled environment.</w:t>
      </w:r>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Evaluate the prototype in a real application case, comparing it against a single-agent baseline using the metrics defined in Section 6.</w:t>
      </w:r>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Conduct a scenario-based architecture evaluation with the participation of architecture and domain experts.</w:t>
      </w:r>
    </w:p>
    <w:p w:rsidR="00E476EA" w:rsidRPr="00C37CDA" w:rsidRDefault="00A11781">
      <w:pPr>
        <w:pStyle w:val="Prrafodelista"/>
        <w:numPr>
          <w:ilvl w:val="0"/>
          <w:numId w:val="4"/>
        </w:numPr>
        <w:spacing w:after="120" w:line="300" w:lineRule="auto"/>
        <w:rPr>
          <w:rFonts w:ascii="Times New Roman" w:hAnsi="Times New Roman" w:cs="Times New Roman"/>
        </w:rPr>
      </w:pPr>
      <w:r w:rsidRPr="00C37CDA">
        <w:rPr>
          <w:rFonts w:ascii="Times New Roman" w:hAnsi="Times New Roman" w:cs="Times New Roman"/>
        </w:rPr>
        <w:t>Formulate transferable design principles and disseminate the results in relevant academic venues.</w:t>
      </w:r>
    </w:p>
    <w:p w:rsidR="00E476EA" w:rsidRPr="00C37CDA" w:rsidRDefault="00A11781">
      <w:pPr>
        <w:rPr>
          <w:rFonts w:ascii="Times New Roman" w:hAnsi="Times New Roman" w:cs="Times New Roman"/>
        </w:rPr>
      </w:pPr>
      <w:r w:rsidRPr="00C37CDA">
        <w:rPr>
          <w:rFonts w:ascii="Times New Roman" w:hAnsi="Times New Roman" w:cs="Times New Roman"/>
        </w:rPr>
        <w:br w:type="page"/>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 Methodology</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6.1 Selected paradigm and method</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Design Science Research (DSR) is adopted, selected in the Method Fit Matrix (Deliverable 2) with a weighted score of 4.65/5 (93/100), against 2.45/5 (Pure Experiment), 2.50/5 (Simulation), and 3.65/5 (Mixed Methods as an independent paradigm). Pure Experiment and Simulation are eliminated by the ≤2 gate rule on a critical criterion (Contribution for both; also Epistemological Fit for Simulation), because neither can produce or govern the reference-architecture artifact that is the intended contribution. Mixed methods do not compete with DSR; rather, they are incorporated as an evaluation strategy embedded in its cycle, combining quantitative and qualitative evidence to evaluate the artifact (Gregor &amp; Hevner, 2013), and not as the governing method of the study. DSR is assumed here as a research approach, not as an ontology, grounded in a pragmatist perspective that privileges the usefulness and applicability of the knowledge generated (Hevner et al., 2004; Peffers et al., 2007). In line with the Paradigm Justification Statement, the positivist approach (the aim is not to measure an existing phenomenon, but to design and evaluate a solution) and the interpretivist approach (the aim is not primarily to understand the perceptions or meanings of the actors involved) are ruled out.</w:t>
      </w:r>
      <w:proofErr w:type="spellStart"/>
      <w:proofErr w:type="spellEnd"/>
      <w:proofErr w:type="spellStart"/>
      <w:proofErr w:type="spellEnd"/>
      <w:proofErr w:type="spellStart"/>
      <w:proofErr w:type="spellEnd"/>
      <w:proofErr w:type="spellStart"/>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2"/>
        <w:gridCol w:w="1782"/>
        <w:gridCol w:w="1754"/>
        <w:gridCol w:w="1715"/>
        <w:gridCol w:w="1797"/>
      </w:tblGrid>
      <w:tr w:rsidR="00AB3415" w:rsidRPr="00C37CDA">
        <w:tc>
          <w:tcPr>
            <w:tcW w:w="26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Criterion / Weight</w:t>
            </w:r>
          </w:p>
        </w:tc>
        <w:tc>
          <w:tcPr>
            <w:tcW w:w="185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Pure Experiment</w:t>
            </w:r>
          </w:p>
        </w:tc>
        <w:tc>
          <w:tcPr>
            <w:tcW w:w="185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Simulation</w:t>
            </w:r>
          </w:p>
        </w:tc>
        <w:tc>
          <w:tcPr>
            <w:tcW w:w="185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Mixed Methods</w:t>
            </w:r>
          </w:p>
        </w:tc>
        <w:tc>
          <w:tcPr>
            <w:tcW w:w="1850" w:type="dxa"/>
            <w:shd w:val="clear" w:color="auto" w:fill="B8791B"/>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DSR (selected)</w:t>
            </w:r>
            <w:bookmarkStart w:id="0" w:name="_GoBack"/>
            <w:bookmarkEnd w:id="0"/>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Epistemological Fit (30%)</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4/5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5/5</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Data Feasibility (20%)</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4/5</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Execution Feasibility (15%)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4/5</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Contribution (20%)</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4/5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5/5</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Venue Fit (15%)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4/5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5/5</w:t>
            </w:r>
          </w:p>
        </w:tc>
      </w:tr>
      <w:tr w:rsidR="00AB3415" w:rsidRPr="00C37CDA">
        <w:tc>
          <w:tcPr>
            <w:tcW w:w="0" w:type="auto"/>
            <w:shd w:val="clear" w:color="auto" w:fill="F3F0E8"/>
            <w:tcMar>
              <w:top w:w="80" w:type="dxa"/>
              <w:left w:w="100" w:type="dxa"/>
              <w:bottom w:w="80" w:type="dxa"/>
              <w:right w:w="100" w:type="dxa"/>
            </w:tcMar>
          </w:tcPr>
          <w:p w:rsidR="00E476EA" w:rsidRPr="00C37CDA" w:rsidRDefault="00A11781">
            <w:pPr>
              <w:rPr>
                <w:rFonts w:ascii="Times New Roman" w:hAnsi="Times New Roman" w:cs="Times New Roman"/>
              </w:rPr>
            </w:pPr>
            <w:proofErr w:type="gramStart"/>
            <w:r w:rsidRPr="00C37CDA">
              <w:rPr>
                <w:rFonts w:ascii="Times New Roman" w:hAnsi="Times New Roman" w:cs="Times New Roman"/>
                <w:b/>
                <w:bCs/>
              </w:rPr>
              <w:t>Weighted Total</w:t>
            </w:r>
            <w:proofErr w:type="gramEnd"/>
          </w:p>
        </w:tc>
        <w:tc>
          <w:tcPr>
            <w:tcW w:w="0" w:type="auto"/>
            <w:shd w:val="clear" w:color="auto" w:fill="F3F0E8"/>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2.45/5 (49/100)</w:t>
            </w:r>
          </w:p>
        </w:tc>
        <w:tc>
          <w:tcPr>
            <w:tcW w:w="0" w:type="auto"/>
            <w:shd w:val="clear" w:color="auto" w:fill="F3F0E8"/>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2.50/5 (50/100)</w:t>
            </w:r>
          </w:p>
        </w:tc>
        <w:tc>
          <w:tcPr>
            <w:tcW w:w="0" w:type="auto"/>
            <w:shd w:val="clear" w:color="auto" w:fill="F3F0E8"/>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3.65/5 (73/100)</w:t>
            </w:r>
          </w:p>
        </w:tc>
        <w:tc>
          <w:tcPr>
            <w:tcW w:w="0" w:type="auto"/>
            <w:shd w:val="clear" w:color="auto" w:fill="F3F0E8"/>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4.65/5 (93/100)</w:t>
            </w:r>
          </w:p>
        </w:tc>
      </w:tr>
    </w:tbl>
    <w:p w:rsidR="00E476EA" w:rsidRPr="00C37CDA" w:rsidRDefault="00E476EA">
      <w:pPr>
        <w:spacing w:after="100" w:line="300" w:lineRule="auto"/>
        <w:jc w:val="both"/>
        <w:rPr>
          <w:rFonts w:ascii="Times New Roman" w:hAnsi="Times New Roman" w:cs="Times New Roman"/>
        </w:rPr>
      </w:pP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6.2 Methodological cycle (Peffers et al., 2007)</w:t>
      </w:r>
      <w:proofErr w:type="spellStart"/>
      <w:proofErr w:type="spellEnd"/>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t>Problem identification and motivation: synthesis of the AI-governance gap in the development of critical State systems (Sections 3 and 4).</w:t>
      </w:r>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t>Definition of the objectives of a solution: functional and non-functional requirements of the reference architecture, derived from the enterprise architecture and the regulatory framework.</w:t>
      </w:r>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t>Design and development: specification of the artifact - architectural views, generator/verifier agent roles, and the conformance mechanism - and construction of a functional prototype.</w:t>
      </w:r>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t>Demonstration: deployment of the prototype in the application case (Peruvian pension system), in a local/controlled environment, restricted to development and verification.</w:t>
      </w:r>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t>Evaluation: quantitative comparison against the single-agent baseline and qualitative scenario-based architecture evaluation with experts.</w:t>
      </w:r>
    </w:p>
    <w:p w:rsidR="00E476EA" w:rsidRPr="00C37CDA" w:rsidRDefault="00A11781">
      <w:pPr>
        <w:pStyle w:val="Prrafodelista"/>
        <w:numPr>
          <w:ilvl w:val="0"/>
          <w:numId w:val="5"/>
        </w:numPr>
        <w:spacing w:after="120" w:line="300" w:lineRule="auto"/>
        <w:rPr>
          <w:rFonts w:ascii="Times New Roman" w:hAnsi="Times New Roman" w:cs="Times New Roman"/>
        </w:rPr>
      </w:pPr>
      <w:r w:rsidRPr="00C37CDA">
        <w:rPr>
          <w:rFonts w:ascii="Times New Roman" w:hAnsi="Times New Roman" w:cs="Times New Roman"/>
        </w:rPr>
        <w:t>Communication: dissemination of results and design principles in the venues identified in Section 8.</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6.3 Evaluation design</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The evaluation combines two complementary components within the DSR cycle (plus an optional stress test), consistent with the Method Fit Matrix (Deliverable 2):</w:t>
      </w:r>
    </w:p>
    <w:p w:rsidR="00E476EA" w:rsidRPr="00C37CDA" w:rsidRDefault="00A11781" w:rsidP="00350EAE">
      <w:pPr>
        <w:pStyle w:val="Prrafodelista"/>
        <w:numPr>
          <w:ilvl w:val="0"/>
          <w:numId w:val="9"/>
        </w:numPr>
        <w:spacing w:after="120" w:line="300" w:lineRule="auto"/>
        <w:rPr>
          <w:rFonts w:ascii="Times New Roman" w:hAnsi="Times New Roman" w:cs="Times New Roman"/>
        </w:rPr>
      </w:pPr>
      <w:r w:rsidRPr="00C37CDA">
        <w:rPr>
          <w:rFonts w:ascii="Times New Roman" w:hAnsi="Times New Roman" w:cs="Times New Roman"/>
        </w:rPr>
        <w:t>Controlled pipeline comparison: the two-agent pipeline (generator + independent, at least partially deterministic verifier) is compared against a single-agent generation baseline without independent verification, on the same development tasks from the application case. This comparison is the controlled experiment embedded in the DSR cycle, not a pure experimental design.</w:t>
      </w:r>
    </w:p>
    <w:p w:rsidR="00E476EA" w:rsidRPr="00C37CDA" w:rsidRDefault="00A11781" w:rsidP="00350EAE">
      <w:pPr>
        <w:pStyle w:val="Prrafodelista"/>
        <w:numPr>
          <w:ilvl w:val="0"/>
          <w:numId w:val="9"/>
        </w:numPr>
        <w:spacing w:after="120" w:line="300" w:lineRule="auto"/>
        <w:rPr>
          <w:rFonts w:ascii="Times New Roman" w:hAnsi="Times New Roman" w:cs="Times New Roman"/>
        </w:rPr>
      </w:pPr>
      <w:r w:rsidRPr="00C37CDA">
        <w:rPr>
          <w:rFonts w:ascii="Times New Roman" w:hAnsi="Times New Roman" w:cs="Times New Roman"/>
        </w:rPr>
        <w:t>Scenario-based architecture evaluation: a panel of enterprise-architecture and domain experts evaluates the usefulness, feasibility, and risks of the artifact against representative scenarios (e.g., a regulatory change, a conformance incident, scaling to a second case).</w:t>
      </w:r>
    </w:p>
    <w:p w:rsidR="00E476EA" w:rsidRPr="00C37CDA" w:rsidRDefault="00A11781" w:rsidP="00350EAE">
      <w:pPr>
        <w:pStyle w:val="Prrafodelista"/>
        <w:numPr>
          <w:ilvl w:val="0"/>
          <w:numId w:val="9"/>
        </w:numPr>
        <w:spacing w:after="120" w:line="300" w:lineRule="auto"/>
        <w:rPr>
          <w:rFonts w:ascii="Times New Roman" w:hAnsi="Times New Roman" w:cs="Times New Roman"/>
        </w:rPr>
      </w:pPr>
      <w:r w:rsidRPr="00C37CDA">
        <w:rPr>
          <w:rFonts w:ascii="Times New Roman" w:hAnsi="Times New Roman" w:cs="Times New Roman"/>
        </w:rPr>
        <w:t>Pre-deployment stress test (optional): simulation of defect injection and of correlated generator–verifier failure scenarios, to empirically document the degree of independence between the two agents (Deliverable 2).</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6.4 Primary metrics</w:t>
      </w:r>
    </w:p>
    <w:p w:rsidR="00E476EA" w:rsidRPr="00C37CDA" w:rsidRDefault="00A11781" w:rsidP="00B81EE3">
      <w:pPr>
        <w:pStyle w:val="Prrafodelista"/>
        <w:numPr>
          <w:ilvl w:val="0"/>
          <w:numId w:val="10"/>
        </w:numPr>
        <w:spacing w:after="120" w:line="300" w:lineRule="auto"/>
        <w:rPr>
          <w:rFonts w:ascii="Times New Roman" w:hAnsi="Times New Roman" w:cs="Times New Roman"/>
        </w:rPr>
      </w:pPr>
      <w:r w:rsidRPr="00C37CDA">
        <w:rPr>
          <w:rFonts w:ascii="Times New Roman" w:hAnsi="Times New Roman" w:cs="Times New Roman"/>
        </w:rPr>
        <w:t>Precision and recall in the detection of conformance violations against enterprise-architecture and regulatory rules.</w:t>
      </w:r>
      <w:proofErr w:type="spellStart"/>
      <w:proofErr w:type="spellEnd"/>
      <w:proofErr w:type="spellStart"/>
      <w:proofErr w:type="spellEnd"/>
    </w:p>
    <w:p w:rsidR="00E476EA" w:rsidRPr="00C37CDA" w:rsidRDefault="00A11781" w:rsidP="00B81EE3">
      <w:pPr>
        <w:pStyle w:val="Prrafodelista"/>
        <w:numPr>
          <w:ilvl w:val="0"/>
          <w:numId w:val="10"/>
        </w:numPr>
        <w:spacing w:after="120" w:line="300" w:lineRule="auto"/>
        <w:rPr>
          <w:rFonts w:ascii="Times New Roman" w:hAnsi="Times New Roman" w:cs="Times New Roman"/>
        </w:rPr>
      </w:pPr>
      <w:r w:rsidRPr="00C37CDA">
        <w:rPr>
          <w:rFonts w:ascii="Times New Roman" w:hAnsi="Times New Roman" w:cs="Times New Roman"/>
        </w:rPr>
        <w:t>Defect escape rate (defects not caught by the verifier that reach later stages).</w:t>
      </w:r>
    </w:p>
    <w:p w:rsidR="00E476EA" w:rsidRPr="00C37CDA" w:rsidRDefault="00A11781" w:rsidP="00B81EE3">
      <w:pPr>
        <w:pStyle w:val="Prrafodelista"/>
        <w:numPr>
          <w:ilvl w:val="0"/>
          <w:numId w:val="10"/>
        </w:numPr>
        <w:spacing w:after="120" w:line="300" w:lineRule="auto"/>
        <w:rPr>
          <w:rFonts w:ascii="Times New Roman" w:hAnsi="Times New Roman" w:cs="Times New Roman"/>
        </w:rPr>
      </w:pPr>
      <w:r w:rsidRPr="00C37CDA">
        <w:rPr>
          <w:rFonts w:ascii="Times New Roman" w:hAnsi="Times New Roman" w:cs="Times New Roman"/>
        </w:rPr>
        <w:t>Rework effort (hours or iterations required to fix detected defects).</w:t>
      </w:r>
    </w:p>
    <w:p w:rsidR="00E476EA" w:rsidRPr="00C37CDA" w:rsidRDefault="00A11781" w:rsidP="00B81EE3">
      <w:pPr>
        <w:pStyle w:val="Prrafodelista"/>
        <w:numPr>
          <w:ilvl w:val="0"/>
          <w:numId w:val="10"/>
        </w:numPr>
        <w:spacing w:after="120" w:line="300" w:lineRule="auto"/>
        <w:rPr>
          <w:rFonts w:ascii="Times New Roman" w:hAnsi="Times New Roman" w:cs="Times New Roman"/>
        </w:rPr>
      </w:pPr>
      <w:r w:rsidRPr="00C37CDA">
        <w:rPr>
          <w:rFonts w:ascii="Times New Roman" w:hAnsi="Times New Roman" w:cs="Times New Roman"/>
        </w:rPr>
        <w:t>Lead time of the generated and verified software artifact.</w:t>
      </w:r>
    </w:p>
    <w:p w:rsidR="00E476EA" w:rsidRPr="00C37CDA" w:rsidRDefault="00A11781" w:rsidP="00B81EE3">
      <w:pPr>
        <w:pStyle w:val="Prrafodelista"/>
        <w:numPr>
          <w:ilvl w:val="0"/>
          <w:numId w:val="10"/>
        </w:numPr>
        <w:spacing w:after="120" w:line="300" w:lineRule="auto"/>
        <w:rPr>
          <w:rFonts w:ascii="Times New Roman" w:hAnsi="Times New Roman" w:cs="Times New Roman"/>
        </w:rPr>
      </w:pPr>
      <w:r w:rsidRPr="00C37CDA">
        <w:rPr>
          <w:rFonts w:ascii="Times New Roman" w:hAnsi="Times New Roman" w:cs="Times New Roman"/>
        </w:rPr>
        <w:t>Note: the Method Fit Matrix (Deliverable 2) limits the study to 3–4 primary metrics; accordingly, precision and recall are reported as a pair (detection of conformance violations), together with defect escape rate, rework effort, and lead time.</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6.5 Data sources</w:t>
      </w:r>
    </w:p>
    <w:p w:rsidR="00E476EA" w:rsidRPr="00C37CDA" w:rsidRDefault="00A11781" w:rsidP="00B81EE3">
      <w:pPr>
        <w:pStyle w:val="Prrafodelista"/>
        <w:numPr>
          <w:ilvl w:val="0"/>
          <w:numId w:val="11"/>
        </w:numPr>
        <w:spacing w:after="120" w:line="300" w:lineRule="auto"/>
        <w:rPr>
          <w:rFonts w:ascii="Times New Roman" w:hAnsi="Times New Roman" w:cs="Times New Roman"/>
        </w:rPr>
      </w:pPr>
      <w:r w:rsidRPr="00C37CDA">
        <w:rPr>
          <w:rFonts w:ascii="Times New Roman" w:hAnsi="Times New Roman" w:cs="Times New Roman"/>
        </w:rPr>
        <w:t>Prototype interaction and build logs.</w:t>
      </w:r>
    </w:p>
    <w:p w:rsidR="00E476EA" w:rsidRPr="00C37CDA" w:rsidRDefault="00A11781" w:rsidP="00B81EE3">
      <w:pPr>
        <w:pStyle w:val="Prrafodelista"/>
        <w:numPr>
          <w:ilvl w:val="0"/>
          <w:numId w:val="11"/>
        </w:numPr>
        <w:spacing w:after="120" w:line="300" w:lineRule="auto"/>
        <w:rPr>
          <w:rFonts w:ascii="Times New Roman" w:hAnsi="Times New Roman" w:cs="Times New Roman"/>
        </w:rPr>
      </w:pPr>
      <w:r w:rsidRPr="00C37CDA">
        <w:rPr>
          <w:rFonts w:ascii="Times New Roman" w:hAnsi="Times New Roman" w:cs="Times New Roman"/>
        </w:rPr>
        <w:t>Conformance violations detected automatically, checked against enterprise-architecture and regulatory rules.</w:t>
      </w:r>
    </w:p>
    <w:p w:rsidR="00E476EA" w:rsidRPr="00C37CDA" w:rsidRDefault="00A11781" w:rsidP="00B81EE3">
      <w:pPr>
        <w:pStyle w:val="Prrafodelista"/>
        <w:numPr>
          <w:ilvl w:val="0"/>
          <w:numId w:val="11"/>
        </w:numPr>
        <w:spacing w:after="120" w:line="300" w:lineRule="auto"/>
        <w:rPr>
          <w:rFonts w:ascii="Times New Roman" w:hAnsi="Times New Roman" w:cs="Times New Roman"/>
        </w:rPr>
      </w:pPr>
      <w:r w:rsidRPr="00C37CDA">
        <w:rPr>
          <w:rFonts w:ascii="Times New Roman" w:hAnsi="Times New Roman" w:cs="Times New Roman"/>
        </w:rPr>
        <w:t>Single-agent baseline (no independent verification), run on the same tasks.</w:t>
      </w:r>
    </w:p>
    <w:p w:rsidR="00E476EA" w:rsidRPr="00C37CDA" w:rsidRDefault="00A11781" w:rsidP="00B81EE3">
      <w:pPr>
        <w:pStyle w:val="Prrafodelista"/>
        <w:numPr>
          <w:ilvl w:val="0"/>
          <w:numId w:val="11"/>
        </w:numPr>
        <w:spacing w:after="120" w:line="300" w:lineRule="auto"/>
        <w:rPr>
          <w:rFonts w:ascii="Times New Roman" w:hAnsi="Times New Roman" w:cs="Times New Roman"/>
        </w:rPr>
      </w:pPr>
      <w:r w:rsidRPr="00C37CDA">
        <w:rPr>
          <w:rFonts w:ascii="Times New Roman" w:hAnsi="Times New Roman" w:cs="Times New Roman"/>
        </w:rPr>
        <w:t>Enterprise-architecture documentation, code repositories, and development artifacts from the application case.</w:t>
      </w:r>
    </w:p>
    <w:p w:rsidR="00E476EA" w:rsidRPr="00C37CDA" w:rsidRDefault="00A11781" w:rsidP="00B81EE3">
      <w:pPr>
        <w:pStyle w:val="Prrafodelista"/>
        <w:numPr>
          <w:ilvl w:val="0"/>
          <w:numId w:val="11"/>
        </w:numPr>
        <w:spacing w:after="120" w:line="300" w:lineRule="auto"/>
        <w:rPr>
          <w:rFonts w:ascii="Times New Roman" w:hAnsi="Times New Roman" w:cs="Times New Roman"/>
        </w:rPr>
      </w:pPr>
      <w:r w:rsidRPr="00C37CDA">
        <w:rPr>
          <w:rFonts w:ascii="Times New Roman" w:hAnsi="Times New Roman" w:cs="Times New Roman"/>
        </w:rPr>
        <w:t>Focused feedback from experts in architecture and in the pension domain (scenario-based evaluation).</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6.6 Case and expert-panel selection</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Application case: the entity that manages the Peruvian pension system is selected by convenience and relevance, given its status as an essential public service, its sensitivity in handling personal data, and its representativeness of critical State information systems. If access to this entity cannot be maintained during the design and evaluation phases, a comparable alternative organization will be identified (e.g., the Peruvian educational scholarship system), preserving the same level of criticality and regulatory constraints. A single application case is planned, in line with the feasibility restriction of Deliverable 2; a second case will be considered only if feasible. Otherwise, the generalization from instance to reference architecture will rest on the scenario-based evaluation with experts (including the scenario of scaling to a second case) and will be declared as a limitation.</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Expert panel: purposive sampling of 8 to 12 specialists in enterprise architecture, software engineering, and/or pension-system management, with at least three years of relevant experience, invited to the scenario-based evaluation.</w:t>
      </w:r>
      <w:proofErr w:type="spellStart"/>
      <w:proofErr w:type="spellEnd"/>
      <w:proofErr w:type="spellStart"/>
      <w:proofErr w:type="spellEnd"/>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6.7 Analysis plan</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Quantitative: computation of precision, recall, defect escape rate, rework effort, and lead time for the two-agent pipeline and for the baseline, with descriptive comparison and, when the task sample size allows, non-parametric paired-data statistical tests (e.g., Wilcoxon), given the small sample size expected in a case study.</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Qualitative: thematic analysis of the expert panel's feedback collected in the scenario-based evaluation, to identify patterns of perceived usefulness, feasibility, and risk.</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6.8 Artifact prerequisites and restrictions</w:t>
      </w:r>
    </w:p>
    <w:p w:rsidR="00E476EA" w:rsidRPr="00C37CDA" w:rsidRDefault="00A11781" w:rsidP="008F7E2F">
      <w:pPr>
        <w:pStyle w:val="Prrafodelista"/>
        <w:numPr>
          <w:ilvl w:val="0"/>
          <w:numId w:val="12"/>
        </w:numPr>
        <w:spacing w:after="120" w:line="300" w:lineRule="auto"/>
        <w:rPr>
          <w:rFonts w:ascii="Times New Roman" w:hAnsi="Times New Roman" w:cs="Times New Roman"/>
        </w:rPr>
      </w:pPr>
      <w:r w:rsidRPr="00C37CDA">
        <w:rPr>
          <w:rFonts w:ascii="Times New Roman" w:hAnsi="Times New Roman" w:cs="Times New Roman"/>
        </w:rPr>
        <w:t>Alignment with Law No. 29733 (Protection of Personal Data), Law No. 31814, NTP-ISO/IEC 42001:2025, and Supreme Decree No. 029-2021-PCM (approving the Regulations of Legislative Decree No. 1412, the Digital Government Law, TITLE VIII, DIGITAL ARCHITECTURE).</w:t>
      </w:r>
      <w:proofErr w:type="spellStart"/>
      <w:proofErr w:type="spellEnd"/>
      <w:proofErr w:type="spellStart"/>
      <w:proofErr w:type="spellEnd"/>
      <w:proofErr w:type="spellStart"/>
      <w:proofErr w:type="spellEnd"/>
      <w:proofErr w:type="spellStart"/>
      <w:proofErr w:type="spellEnd"/>
    </w:p>
    <w:p w:rsidR="00E476EA" w:rsidRPr="00C37CDA" w:rsidRDefault="00A11781" w:rsidP="008F7E2F">
      <w:pPr>
        <w:pStyle w:val="Prrafodelista"/>
        <w:numPr>
          <w:ilvl w:val="0"/>
          <w:numId w:val="12"/>
        </w:numPr>
        <w:spacing w:after="120" w:line="300" w:lineRule="auto"/>
        <w:rPr>
          <w:rFonts w:ascii="Times New Roman" w:hAnsi="Times New Roman" w:cs="Times New Roman"/>
        </w:rPr>
      </w:pPr>
      <w:r w:rsidRPr="00C37CDA">
        <w:rPr>
          <w:rFonts w:ascii="Times New Roman" w:hAnsi="Times New Roman" w:cs="Times New Roman"/>
        </w:rPr>
        <w:t>The artifact is restricted to the development and verification phases; it does not operate in production execution.</w:t>
      </w:r>
    </w:p>
    <w:p w:rsidR="00E476EA" w:rsidRPr="00C37CDA" w:rsidRDefault="00A11781" w:rsidP="008F7E2F">
      <w:pPr>
        <w:pStyle w:val="Prrafodelista"/>
        <w:numPr>
          <w:ilvl w:val="0"/>
          <w:numId w:val="12"/>
        </w:numPr>
        <w:spacing w:after="120" w:line="300" w:lineRule="auto"/>
        <w:rPr>
          <w:rFonts w:ascii="Times New Roman" w:hAnsi="Times New Roman" w:cs="Times New Roman"/>
        </w:rPr>
      </w:pPr>
      <w:r w:rsidRPr="00C37CDA">
        <w:rPr>
          <w:rFonts w:ascii="Times New Roman" w:hAnsi="Times New Roman" w:cs="Times New Roman"/>
        </w:rPr>
        <w:t>Data minimization: no identifiable personal data from the pension system is used.</w:t>
      </w:r>
    </w:p>
    <w:p w:rsidR="00E476EA" w:rsidRPr="00C37CDA" w:rsidRDefault="00A11781" w:rsidP="008F7E2F">
      <w:pPr>
        <w:pStyle w:val="Prrafodelista"/>
        <w:numPr>
          <w:ilvl w:val="0"/>
          <w:numId w:val="12"/>
        </w:numPr>
        <w:spacing w:after="120" w:line="300" w:lineRule="auto"/>
        <w:rPr>
          <w:rFonts w:ascii="Times New Roman" w:hAnsi="Times New Roman" w:cs="Times New Roman"/>
        </w:rPr>
      </w:pPr>
      <w:r w:rsidRPr="00C37CDA">
        <w:rPr>
          <w:rFonts w:ascii="Times New Roman" w:hAnsi="Times New Roman" w:cs="Times New Roman"/>
        </w:rPr>
        <w:t>Local / on-device processing, with access limited to strictly necessary code and data.</w:t>
      </w:r>
      <w:proofErr w:type="spellStart"/>
      <w:proofErr w:type="spellEnd"/>
    </w:p>
    <w:p w:rsidR="00E476EA" w:rsidRPr="00C37CDA" w:rsidRDefault="00A11781">
      <w:pPr>
        <w:rPr>
          <w:rFonts w:ascii="Times New Roman" w:hAnsi="Times New Roman" w:cs="Times New Roman"/>
        </w:rPr>
      </w:pPr>
      <w:r w:rsidRPr="00C37CDA">
        <w:rPr>
          <w:rFonts w:ascii="Times New Roman" w:hAnsi="Times New Roman" w:cs="Times New Roman"/>
        </w:rPr>
        <w:br w:type="page"/>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7. Ethical Considerations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Personal data protection</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The design complies with Law No. 29733 on the Protection of Personal Data: no identifiable personal data of pension-system members is collected or processed; all empirical evidence comes from technical records (logs, code, architectural documentation) and expert feedback, not from the data subjects of the pension system.</w:t>
      </w:r>
      <w:proofErr w:type="spellStart"/>
      <w:proofErr w:type="spellEnd"/>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AI governance</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The artifact is designed in conformance with Law No. 31814 (promoting the use of artificial intelligence) and NTP-ISO/IEC 42001:2025 (AI management systems), which includes traceability of the agents' decisions and the restriction of their scope to the development and verification phases.</w:t>
      </w:r>
      <w:proofErr w:type="spellStart"/>
      <w:proofErr w:type="spellEnd"/>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Informed consent of the expert panel</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Participation of experts in the scenario-based evaluation will be voluntary, preceded by informed consent, with the option to anonymize their responses and to withdraw from the study at any time without penalty.</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Institutional confidentiality</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Enterprise-architecture documentation, code repositories, and development artifacts provided by the collaborating entity will be handled under confidentiality agreements; the publication of results will avoid disclosing information that could compromise the security of the entity's systems.</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Institutional ethics review</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The protocol will be submitted to the university's research ethics committee and, where applicable, to the formal authorization of the collaborating public entity, before data collection and expert evaluation begin.</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Risk management</w:t>
      </w:r>
    </w:p>
    <w:p w:rsidR="00E476EA" w:rsidRPr="00C37CDA" w:rsidRDefault="00A11781" w:rsidP="00E81FC5">
      <w:pPr>
        <w:pStyle w:val="Prrafodelista"/>
        <w:numPr>
          <w:ilvl w:val="0"/>
          <w:numId w:val="13"/>
        </w:numPr>
        <w:spacing w:after="120" w:line="300" w:lineRule="auto"/>
        <w:rPr>
          <w:rFonts w:ascii="Times New Roman" w:hAnsi="Times New Roman" w:cs="Times New Roman"/>
        </w:rPr>
      </w:pPr>
      <w:r w:rsidRPr="00C37CDA">
        <w:rPr>
          <w:rFonts w:ascii="Times New Roman" w:hAnsi="Times New Roman" w:cs="Times New Roman"/>
        </w:rPr>
        <w:t>Risk of losing access to the collaborating entity: a comparable alternative organization is defined in advance (Section 6.6).</w:t>
      </w:r>
    </w:p>
    <w:p w:rsidR="00E476EA" w:rsidRPr="00C37CDA" w:rsidRDefault="00A11781" w:rsidP="00E81FC5">
      <w:pPr>
        <w:pStyle w:val="Prrafodelista"/>
        <w:numPr>
          <w:ilvl w:val="0"/>
          <w:numId w:val="13"/>
        </w:numPr>
        <w:spacing w:after="120" w:line="300" w:lineRule="auto"/>
        <w:rPr>
          <w:rFonts w:ascii="Times New Roman" w:hAnsi="Times New Roman" w:cs="Times New Roman"/>
        </w:rPr>
      </w:pPr>
      <w:r w:rsidRPr="00C37CDA">
        <w:rPr>
          <w:rFonts w:ascii="Times New Roman" w:hAnsi="Times New Roman" w:cs="Times New Roman"/>
        </w:rPr>
        <w:t>Risk of correlated failures between the generator and verifier agents (if both are generative models, they could share training data, biases, and blind spots): mitigated by making the conformance layer at least partially deterministic (static analysis, policy as code); the observed degree of independence will be documented empirically.</w:t>
      </w:r>
    </w:p>
    <w:p w:rsidR="00E476EA" w:rsidRPr="00C37CDA" w:rsidRDefault="00A11781" w:rsidP="00E81FC5">
      <w:pPr>
        <w:pStyle w:val="Prrafodelista"/>
        <w:numPr>
          <w:ilvl w:val="0"/>
          <w:numId w:val="13"/>
        </w:numPr>
        <w:spacing w:after="120" w:line="300" w:lineRule="auto"/>
        <w:rPr>
          <w:rFonts w:ascii="Times New Roman" w:hAnsi="Times New Roman" w:cs="Times New Roman"/>
        </w:rPr>
      </w:pPr>
      <w:r w:rsidRPr="00C37CDA">
        <w:rPr>
          <w:rFonts w:ascii="Times New Roman" w:hAnsi="Times New Roman" w:cs="Times New Roman"/>
        </w:rPr>
        <w:t>Risk of misuse of the artifact beyond its authorized scope: its operation is explicitly restricted to development/verification environments, never production.</w:t>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8. Expected Results</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t>A documented reference-architecture artifact (architectural views, agent roles, conformance mechanism) for the governed development of critical State information systems.</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t>Comparative empirical evidence between the two-agent pipeline and the single-agent baseline, in terms of precision/recall, defect escape rate, rework effort, and lead time.</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t>Results of the scenario-based architecture evaluation, with experts' perceptions of usefulness, feasibility, and risk.</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t>Transferable design principles, in particular the conformance principle and the governed separation between generation and verification, applicable to other critical public-sector information systems.</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t>Empirical evidence on the degree of independence (or correlated failure) between generator and verifier agents, already identified in the Paradigm Justification Statement as a potentially publishable result in its own right.</w:t>
      </w:r>
      <w:proofErr w:type="spellStart"/>
      <w:proofErr w:type="spellEnd"/>
      <w:proofErr w:type="spellStart"/>
      <w:proofErr w:type="spellEnd"/>
      <w:proofErr w:type="spellStart"/>
      <w:proofErr w:type="spellEnd"/>
    </w:p>
    <w:p w:rsidR="00E476EA" w:rsidRPr="00C37CDA" w:rsidRDefault="00A11781" w:rsidP="00E81FC5">
      <w:pPr>
        <w:pStyle w:val="Prrafodelista"/>
        <w:numPr>
          <w:ilvl w:val="0"/>
          <w:numId w:val="14"/>
        </w:numPr>
        <w:spacing w:after="120" w:line="300" w:lineRule="auto"/>
        <w:rPr>
          <w:rFonts w:ascii="Times New Roman" w:hAnsi="Times New Roman" w:cs="Times New Roman"/>
          <w:lang w:val="en-US"/>
        </w:rPr>
      </w:pPr>
      <w:r w:rsidRPr="00C37CDA">
        <w:rPr>
          <w:rFonts w:ascii="Times New Roman" w:hAnsi="Times New Roman" w:cs="Times New Roman"/>
          <w:lang w:val="en-US"/>
        </w:rPr>
        <w:t>At least one publication in venues such as IEEE Software, Journal of Systems and Software, Government Information Quarterly, DESRIST, or the European Conference on Software Architecture (ECSA).</w:t>
      </w:r>
    </w:p>
    <w:p w:rsidR="00E476EA" w:rsidRPr="00C37CDA" w:rsidRDefault="00A11781" w:rsidP="00E81FC5">
      <w:pPr>
        <w:pStyle w:val="Prrafodelista"/>
        <w:numPr>
          <w:ilvl w:val="0"/>
          <w:numId w:val="14"/>
        </w:numPr>
        <w:spacing w:after="120" w:line="300" w:lineRule="auto"/>
        <w:rPr>
          <w:rFonts w:ascii="Times New Roman" w:hAnsi="Times New Roman" w:cs="Times New Roman"/>
        </w:rPr>
      </w:pPr>
      <w:r w:rsidRPr="00C37CDA">
        <w:rPr>
          <w:rFonts w:ascii="Times New Roman" w:hAnsi="Times New Roman" w:cs="Times New Roman"/>
        </w:rPr>
        <w:t>Technical inputs that could inform AI-governance guidelines for software development in Peruvian public entities.</w:t>
      </w:r>
    </w:p>
    <w:p w:rsidR="00E476EA" w:rsidRPr="00C37CDA" w:rsidRDefault="00A11781">
      <w:pPr>
        <w:rPr>
          <w:rFonts w:ascii="Times New Roman" w:hAnsi="Times New Roman" w:cs="Times New Roman"/>
        </w:rPr>
      </w:pPr>
      <w:r w:rsidRPr="00C37CDA">
        <w:rPr>
          <w:rFonts w:ascii="Times New Roman" w:hAnsi="Times New Roman" w:cs="Times New Roman"/>
        </w:rPr>
        <w:br w:type="page"/>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9. Timeline and Budget</w:t>
      </w:r>
    </w:p>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rPr>
        <w:t>The timeline is organized into six semesters (three years), corresponding to the six activities of the DSR cycle (Peffers et al., 2007) and to the feasibility limit identified in the Method Fit Matrix. Dates and amounts are indicative and will be adjusted to the doctoral program's funding rules.</w:t>
      </w:r>
      <w:proofErr w:type="spellStart"/>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2904"/>
        <w:gridCol w:w="5688"/>
      </w:tblGrid>
      <w:tr w:rsidR="00AB3415" w:rsidRPr="00C37CDA">
        <w:tc>
          <w:tcPr>
            <w:tcW w:w="14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Semester</w:t>
            </w:r>
          </w:p>
        </w:tc>
        <w:tc>
          <w:tcPr>
            <w:tcW w:w="42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DSR Activity</w:t>
            </w:r>
          </w:p>
        </w:tc>
        <w:tc>
          <w:tcPr>
            <w:tcW w:w="44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Key milestones</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S1</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Problem identification and motivation</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Expanded literature review; Paradigm Justification Statement and Method Fit Matrix (completed).</w:t>
            </w:r>
            <w:proofErr w:type="spellStart"/>
            <w:proofErr w:type="spellEnd"/>
            <w:proofErr w:type="spellStart"/>
            <w:proofErr w:type="spellEnd"/>
            <w:proofErr w:type="spellStart"/>
            <w:proofErr w:type="spellEnd"/>
            <w:proofErr w:type="spellStart"/>
            <w:proofErr w:type="spellEnd"/>
            <w:proofErr w:type="spellStart"/>
            <w:proofErr w:type="spellEnd"/>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S2</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Definition of solution objectives</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Architectural and regulatory requirements systematized; research protocol validated on OSF.</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S3</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Design and development</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Specification of the reference architecture and conformance mechanism; prototype started.</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S4</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Design and development / Demonstration</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Functional prototype of the generator–verifier pipeline; collaboration agreement with the case entity.</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S5</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Demonstration and evaluation</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Execution of the application case; metric collection; scenario-based evaluation with experts.</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S6</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Evaluation and communication</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Final analysis, design principles, manuscript writing, and research defense.</w:t>
            </w:r>
          </w:p>
        </w:tc>
      </w:tr>
    </w:tbl>
    <w:p w:rsidR="00E476EA" w:rsidRPr="00C37CDA" w:rsidRDefault="00E476EA">
      <w:pPr>
        <w:spacing w:after="100" w:line="300" w:lineRule="auto"/>
        <w:jc w:val="both"/>
        <w:rPr>
          <w:rFonts w:ascii="Times New Roman" w:hAnsi="Times New Roman" w:cs="Times New Roman"/>
        </w:rPr>
      </w:pP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Indicative budget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1"/>
        <w:gridCol w:w="5469"/>
      </w:tblGrid>
      <w:tr w:rsidR="00AB3415" w:rsidRPr="00C37CDA">
        <w:tc>
          <w:tcPr>
            <w:tcW w:w="55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Item</w:t>
            </w:r>
          </w:p>
        </w:tc>
        <w:tc>
          <w:tcPr>
            <w:tcW w:w="4500" w:type="dxa"/>
            <w:shd w:val="clear" w:color="auto" w:fill="1F2A5E"/>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b/>
                <w:bCs/>
              </w:rPr>
              <w:t>Rationale</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Local computing infrastructure (workstation / GPU)</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Local/on-device execution of the agents, consistent with the confidentiality requirement.</w:t>
            </w:r>
            <w:proofErr w:type="spellStart"/>
            <w:proofErr w:type="spellEnd"/>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Licenses for static-analysis and policy-as-code tools</w:t>
            </w:r>
            <w:proofErr w:type="spellStart"/>
            <w:proofErr w:type="spellEnd"/>
            <w:proofErr w:type="spellStart"/>
            <w:proofErr w:type="spellEnd"/>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Support for the deterministic conformance-verification layer.</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Incentives or symbolic compensation for the expert panel</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Voluntary participation in the scenario-based evaluation.</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Open-access publication fees (APC) and conference attendance</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Dissemination in IEEE Software, JSS, GIQ, DESRIST, or ECSA.</w:t>
            </w:r>
          </w:p>
        </w:tc>
      </w:tr>
      <w:tr w:rsidR="00AB3415" w:rsidRPr="00C37CDA">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Contingencies and coordination with the collaborating entity</w:t>
            </w:r>
          </w:p>
        </w:tc>
        <w:tc>
          <w:tcPr>
            <w:tcW w:w="0" w:type="auto"/>
            <w:tcMar>
              <w:top w:w="80" w:type="dxa"/>
              <w:left w:w="100" w:type="dxa"/>
              <w:bottom w:w="80" w:type="dxa"/>
              <w:right w:w="100" w:type="dxa"/>
            </w:tcMar>
          </w:tcPr>
          <w:p w:rsidR="00E476EA" w:rsidRPr="00C37CDA" w:rsidRDefault="00A11781">
            <w:pPr>
              <w:rPr>
                <w:rFonts w:ascii="Times New Roman" w:hAnsi="Times New Roman" w:cs="Times New Roman"/>
              </w:rPr>
            </w:pPr>
            <w:r w:rsidRPr="00C37CDA">
              <w:rPr>
                <w:rFonts w:ascii="Times New Roman" w:hAnsi="Times New Roman" w:cs="Times New Roman"/>
              </w:rPr>
              <w:t>Managing the risk of a change in access to the entity (Section 7).</w:t>
            </w:r>
          </w:p>
        </w:tc>
      </w:tr>
    </w:tbl>
    <w:p w:rsidR="00E476EA" w:rsidRPr="00C37CDA" w:rsidRDefault="00A11781">
      <w:pPr>
        <w:spacing w:after="200" w:line="300" w:lineRule="auto"/>
        <w:jc w:val="both"/>
        <w:rPr>
          <w:rFonts w:ascii="Times New Roman" w:hAnsi="Times New Roman" w:cs="Times New Roman"/>
        </w:rPr>
      </w:pPr>
      <w:r w:rsidRPr="00C37CDA">
        <w:rPr>
          <w:rFonts w:ascii="Times New Roman" w:hAnsi="Times New Roman" w:cs="Times New Roman"/>
          <w:i/>
          <w:iCs/>
        </w:rPr>
        <w:t>Note: exact amounts per line item will depend on the doctoral program's funding scales and on the agreement with the collaborating entity; they are presented here as categories to be completed before formal submission to the Graduate School.</w:t>
      </w:r>
    </w:p>
    <w:p w:rsidR="00E476EA" w:rsidRPr="00C37CDA" w:rsidRDefault="00A11781" w:rsidP="00694A40">
      <w:pPr>
        <w:pStyle w:val="Ttulo1"/>
        <w:spacing w:before="400" w:after="200"/>
        <w:rPr>
          <w:rFonts w:ascii="Times New Roman" w:hAnsi="Times New Roman" w:cs="Times New Roman"/>
          <w:color w:val="auto"/>
          <w:sz w:val="22"/>
          <w:szCs w:val="22"/>
        </w:rPr>
      </w:pPr>
      <w:r w:rsidRPr="00C37CDA">
        <w:rPr>
          <w:rFonts w:ascii="Times New Roman" w:hAnsi="Times New Roman" w:cs="Times New Roman"/>
          <w:b/>
          <w:bCs/>
          <w:color w:val="auto"/>
          <w:sz w:val="22"/>
          <w:szCs w:val="22"/>
        </w:rPr>
        <w:t>10. Bibliography</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Academic references</w:t>
      </w:r>
    </w:p>
    <w:p w:rsidR="00E476EA" w:rsidRPr="00C37CDA" w:rsidRDefault="00A11781">
      <w:pPr>
        <w:spacing w:after="200" w:line="300" w:lineRule="auto"/>
        <w:rPr>
          <w:rFonts w:ascii="Times New Roman" w:hAnsi="Times New Roman" w:cs="Times New Roman"/>
          <w:lang w:val="en-US"/>
        </w:rPr>
      </w:pPr>
      <w:proofErr w:type="spellStart"/>
      <w:r w:rsidRPr="00C37CDA">
        <w:rPr>
          <w:rFonts w:ascii="Times New Roman" w:hAnsi="Times New Roman" w:cs="Times New Roman"/>
        </w:rPr>
        <w:t>Gregor, S., &amp; Hevner, A. R. (2013). Positioning and Presenting Design Science Research for Maximum Impact. MIS Quarterly, 37(2), 337–355.</w:t>
      </w:r>
      <w:proofErr w:type="spellEnd"/>
      <w:proofErr w:type="spellStart"/>
      <w:proofErr w:type="spellEnd"/>
    </w:p>
    <w:p w:rsidR="00E476EA" w:rsidRPr="00C37CDA" w:rsidRDefault="00A11781">
      <w:pPr>
        <w:spacing w:after="200" w:line="300" w:lineRule="auto"/>
        <w:rPr>
          <w:rFonts w:ascii="Times New Roman" w:hAnsi="Times New Roman" w:cs="Times New Roman"/>
          <w:lang w:val="en-US"/>
        </w:rPr>
      </w:pPr>
      <w:r w:rsidRPr="00C37CDA">
        <w:rPr>
          <w:rFonts w:ascii="Times New Roman" w:hAnsi="Times New Roman" w:cs="Times New Roman"/>
          <w:lang w:val="en-US"/>
        </w:rPr>
        <w:t>Hevner, A. R., March, S. T., Park, J., &amp; Ram, S. (2004). Design Science in Information Systems Research. MIS Quarterly, 28(1), 75–105.</w:t>
      </w:r>
    </w:p>
    <w:p w:rsidR="00E476EA" w:rsidRPr="00C37CDA" w:rsidRDefault="00A11781">
      <w:pPr>
        <w:spacing w:after="200" w:line="300" w:lineRule="auto"/>
        <w:rPr>
          <w:rFonts w:ascii="Times New Roman" w:hAnsi="Times New Roman" w:cs="Times New Roman"/>
          <w:lang w:val="en-US"/>
        </w:rPr>
      </w:pPr>
      <w:r w:rsidRPr="00C37CDA">
        <w:rPr>
          <w:rFonts w:ascii="Times New Roman" w:hAnsi="Times New Roman" w:cs="Times New Roman"/>
          <w:lang w:val="en-US"/>
        </w:rPr>
        <w:t>Peffers, K., Tuunanen, T., Rothenberger, M. A., &amp; Chatterjee, S. (2007). A Design Science Research Methodology for Information Systems Research. Journal of Management Information Systems, 24(3), 45–77.</w:t>
      </w:r>
    </w:p>
    <w:p w:rsidR="00E476EA" w:rsidRPr="00C37CDA" w:rsidRDefault="00A11781">
      <w:pPr>
        <w:pStyle w:val="Ttulo2"/>
        <w:spacing w:before="260" w:after="140"/>
        <w:rPr>
          <w:rFonts w:ascii="Times New Roman" w:hAnsi="Times New Roman" w:cs="Times New Roman"/>
          <w:color w:val="auto"/>
          <w:sz w:val="22"/>
          <w:szCs w:val="22"/>
        </w:rPr>
      </w:pPr>
      <w:r w:rsidRPr="00C37CDA">
        <w:rPr>
          <w:rFonts w:ascii="Times New Roman" w:hAnsi="Times New Roman" w:cs="Times New Roman"/>
          <w:b/>
          <w:bCs/>
          <w:color w:val="auto"/>
          <w:sz w:val="22"/>
          <w:szCs w:val="22"/>
        </w:rPr>
        <w:t>Regulatory framework</w:t>
      </w:r>
    </w:p>
    <w:p w:rsidR="00E476EA" w:rsidRPr="00C37CDA" w:rsidRDefault="00A11781">
      <w:pPr>
        <w:spacing w:after="200" w:line="300" w:lineRule="auto"/>
        <w:rPr>
          <w:rFonts w:ascii="Times New Roman" w:hAnsi="Times New Roman" w:cs="Times New Roman"/>
        </w:rPr>
      </w:pPr>
      <w:r w:rsidRPr="00C37CDA">
        <w:rPr>
          <w:rFonts w:ascii="Times New Roman" w:hAnsi="Times New Roman" w:cs="Times New Roman"/>
        </w:rPr>
        <w:t>Law No. 29733, Law on the Protection of Personal Data (Peru).</w:t>
      </w:r>
      <w:proofErr w:type="spellStart"/>
      <w:proofErr w:type="spellEnd"/>
    </w:p>
    <w:p w:rsidR="00E476EA" w:rsidRPr="00C37CDA" w:rsidRDefault="00A11781">
      <w:pPr>
        <w:spacing w:after="200" w:line="300" w:lineRule="auto"/>
        <w:rPr>
          <w:rFonts w:ascii="Times New Roman" w:hAnsi="Times New Roman" w:cs="Times New Roman"/>
        </w:rPr>
      </w:pPr>
      <w:r w:rsidRPr="00C37CDA">
        <w:rPr>
          <w:rFonts w:ascii="Times New Roman" w:hAnsi="Times New Roman" w:cs="Times New Roman"/>
        </w:rPr>
        <w:t>Law No. 31814, Law promoting the use of Artificial Intelligence for the country's economic and social development (Peru).</w:t>
      </w:r>
      <w:proofErr w:type="spellStart"/>
      <w:proofErr w:type="spellEnd"/>
    </w:p>
    <w:p w:rsidR="00E476EA" w:rsidRPr="00C37CDA" w:rsidRDefault="00A11781">
      <w:pPr>
        <w:spacing w:after="200" w:line="300" w:lineRule="auto"/>
        <w:rPr>
          <w:rFonts w:ascii="Times New Roman" w:hAnsi="Times New Roman" w:cs="Times New Roman"/>
        </w:rPr>
      </w:pPr>
      <w:r w:rsidRPr="00C37CDA">
        <w:rPr>
          <w:rFonts w:ascii="Times New Roman" w:hAnsi="Times New Roman" w:cs="Times New Roman"/>
        </w:rPr>
        <w:t>NTP-ISO/IEC 42001:2025, Artificial intelligence management systems — Requirements.</w:t>
      </w:r>
    </w:p>
    <w:p w:rsidR="00F460A8" w:rsidRPr="00C37CDA" w:rsidRDefault="00F460A8">
      <w:pPr>
        <w:spacing w:after="200" w:line="300" w:lineRule="auto"/>
        <w:rPr>
          <w:rFonts w:ascii="Times New Roman" w:hAnsi="Times New Roman" w:cs="Times New Roman"/>
        </w:rPr>
      </w:pPr>
      <w:r w:rsidRPr="00C37CDA">
        <w:rPr>
          <w:rFonts w:ascii="Times New Roman" w:hAnsi="Times New Roman" w:cs="Times New Roman"/>
        </w:rPr>
        <w:t>Supreme Decree No. 029-2021-PCM, approving the Regulations of Legislative Decree No. 1412, the Digital Government Law, TITLE VIII, DIGITAL ARCHITECTURE (Peru).</w:t>
      </w:r>
      <w:proofErr w:type="spellStart"/>
      <w:proofErr w:type="spellEnd"/>
      <w:proofErr w:type="spellStart"/>
      <w:proofErr w:type="spellEnd"/>
    </w:p>
    <w:p w:rsidR="00E476EA" w:rsidRPr="00AB3415" w:rsidRDefault="00A11781">
      <w:pPr>
        <w:spacing w:after="200" w:line="300" w:lineRule="auto"/>
        <w:jc w:val="both"/>
        <w:rPr>
          <w:rFonts w:ascii="Times New Roman" w:hAnsi="Times New Roman" w:cs="Times New Roman"/>
        </w:rPr>
      </w:pPr>
      <w:r w:rsidRPr="00C37CDA">
        <w:rPr>
          <w:rFonts w:ascii="Times New Roman" w:hAnsi="Times New Roman" w:cs="Times New Roman"/>
          <w:i/>
          <w:iCs/>
        </w:rPr>
        <w:t>Note: this list will be expanded during the formal literature review (Section 4) with the specific sources on enterprise architecture, generative AI agents, and conformance verification identified in the systematic search.</w:t>
      </w:r>
    </w:p>
    <w:sectPr w:rsidR="00E476EA" w:rsidRPr="00AB3415">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61E00"/>
    <w:multiLevelType w:val="hybridMultilevel"/>
    <w:tmpl w:val="43DA63C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 w15:restartNumberingAfterBreak="0">
    <w:nsid w:val="0C484D50"/>
    <w:multiLevelType w:val="hybridMultilevel"/>
    <w:tmpl w:val="64CAF64C"/>
    <w:lvl w:ilvl="0" w:tplc="280A0001">
      <w:start w:val="1"/>
      <w:numFmt w:val="bullet"/>
      <w:lvlText w:val=""/>
      <w:lvlJc w:val="left"/>
      <w:pPr>
        <w:ind w:left="920" w:hanging="360"/>
      </w:pPr>
      <w:rPr>
        <w:rFonts w:ascii="Symbol" w:hAnsi="Symbol" w:hint="default"/>
      </w:rPr>
    </w:lvl>
    <w:lvl w:ilvl="1" w:tplc="280A0003" w:tentative="1">
      <w:start w:val="1"/>
      <w:numFmt w:val="bullet"/>
      <w:lvlText w:val="o"/>
      <w:lvlJc w:val="left"/>
      <w:pPr>
        <w:ind w:left="1640" w:hanging="360"/>
      </w:pPr>
      <w:rPr>
        <w:rFonts w:ascii="Courier New" w:hAnsi="Courier New" w:cs="Courier New" w:hint="default"/>
      </w:rPr>
    </w:lvl>
    <w:lvl w:ilvl="2" w:tplc="280A0005" w:tentative="1">
      <w:start w:val="1"/>
      <w:numFmt w:val="bullet"/>
      <w:lvlText w:val=""/>
      <w:lvlJc w:val="left"/>
      <w:pPr>
        <w:ind w:left="2360" w:hanging="360"/>
      </w:pPr>
      <w:rPr>
        <w:rFonts w:ascii="Wingdings" w:hAnsi="Wingdings" w:hint="default"/>
      </w:rPr>
    </w:lvl>
    <w:lvl w:ilvl="3" w:tplc="280A0001" w:tentative="1">
      <w:start w:val="1"/>
      <w:numFmt w:val="bullet"/>
      <w:lvlText w:val=""/>
      <w:lvlJc w:val="left"/>
      <w:pPr>
        <w:ind w:left="3080" w:hanging="360"/>
      </w:pPr>
      <w:rPr>
        <w:rFonts w:ascii="Symbol" w:hAnsi="Symbol" w:hint="default"/>
      </w:rPr>
    </w:lvl>
    <w:lvl w:ilvl="4" w:tplc="280A0003" w:tentative="1">
      <w:start w:val="1"/>
      <w:numFmt w:val="bullet"/>
      <w:lvlText w:val="o"/>
      <w:lvlJc w:val="left"/>
      <w:pPr>
        <w:ind w:left="3800" w:hanging="360"/>
      </w:pPr>
      <w:rPr>
        <w:rFonts w:ascii="Courier New" w:hAnsi="Courier New" w:cs="Courier New" w:hint="default"/>
      </w:rPr>
    </w:lvl>
    <w:lvl w:ilvl="5" w:tplc="280A0005" w:tentative="1">
      <w:start w:val="1"/>
      <w:numFmt w:val="bullet"/>
      <w:lvlText w:val=""/>
      <w:lvlJc w:val="left"/>
      <w:pPr>
        <w:ind w:left="4520" w:hanging="360"/>
      </w:pPr>
      <w:rPr>
        <w:rFonts w:ascii="Wingdings" w:hAnsi="Wingdings" w:hint="default"/>
      </w:rPr>
    </w:lvl>
    <w:lvl w:ilvl="6" w:tplc="280A0001" w:tentative="1">
      <w:start w:val="1"/>
      <w:numFmt w:val="bullet"/>
      <w:lvlText w:val=""/>
      <w:lvlJc w:val="left"/>
      <w:pPr>
        <w:ind w:left="5240" w:hanging="360"/>
      </w:pPr>
      <w:rPr>
        <w:rFonts w:ascii="Symbol" w:hAnsi="Symbol" w:hint="default"/>
      </w:rPr>
    </w:lvl>
    <w:lvl w:ilvl="7" w:tplc="280A0003" w:tentative="1">
      <w:start w:val="1"/>
      <w:numFmt w:val="bullet"/>
      <w:lvlText w:val="o"/>
      <w:lvlJc w:val="left"/>
      <w:pPr>
        <w:ind w:left="5960" w:hanging="360"/>
      </w:pPr>
      <w:rPr>
        <w:rFonts w:ascii="Courier New" w:hAnsi="Courier New" w:cs="Courier New" w:hint="default"/>
      </w:rPr>
    </w:lvl>
    <w:lvl w:ilvl="8" w:tplc="280A0005" w:tentative="1">
      <w:start w:val="1"/>
      <w:numFmt w:val="bullet"/>
      <w:lvlText w:val=""/>
      <w:lvlJc w:val="left"/>
      <w:pPr>
        <w:ind w:left="6680" w:hanging="360"/>
      </w:pPr>
      <w:rPr>
        <w:rFonts w:ascii="Wingdings" w:hAnsi="Wingdings" w:hint="default"/>
      </w:rPr>
    </w:lvl>
  </w:abstractNum>
  <w:abstractNum w:abstractNumId="2" w15:restartNumberingAfterBreak="0">
    <w:nsid w:val="0EA57602"/>
    <w:multiLevelType w:val="hybridMultilevel"/>
    <w:tmpl w:val="07E4F634"/>
    <w:lvl w:ilvl="0" w:tplc="F202FC6A">
      <w:start w:val="1"/>
      <w:numFmt w:val="decimal"/>
      <w:lvlText w:val="%1."/>
      <w:lvlJc w:val="left"/>
      <w:pPr>
        <w:ind w:left="460" w:hanging="260"/>
      </w:pPr>
    </w:lvl>
    <w:lvl w:ilvl="1" w:tplc="15FCE6F4">
      <w:numFmt w:val="decimal"/>
      <w:lvlText w:val=""/>
      <w:lvlJc w:val="left"/>
    </w:lvl>
    <w:lvl w:ilvl="2" w:tplc="DB2E3350">
      <w:numFmt w:val="decimal"/>
      <w:lvlText w:val=""/>
      <w:lvlJc w:val="left"/>
    </w:lvl>
    <w:lvl w:ilvl="3" w:tplc="CAE0870A">
      <w:numFmt w:val="decimal"/>
      <w:lvlText w:val=""/>
      <w:lvlJc w:val="left"/>
    </w:lvl>
    <w:lvl w:ilvl="4" w:tplc="EF123C2E">
      <w:numFmt w:val="decimal"/>
      <w:lvlText w:val=""/>
      <w:lvlJc w:val="left"/>
    </w:lvl>
    <w:lvl w:ilvl="5" w:tplc="145083B2">
      <w:numFmt w:val="decimal"/>
      <w:lvlText w:val=""/>
      <w:lvlJc w:val="left"/>
    </w:lvl>
    <w:lvl w:ilvl="6" w:tplc="AA6A3298">
      <w:numFmt w:val="decimal"/>
      <w:lvlText w:val=""/>
      <w:lvlJc w:val="left"/>
    </w:lvl>
    <w:lvl w:ilvl="7" w:tplc="7C86C316">
      <w:numFmt w:val="decimal"/>
      <w:lvlText w:val=""/>
      <w:lvlJc w:val="left"/>
    </w:lvl>
    <w:lvl w:ilvl="8" w:tplc="C9FA0FEE">
      <w:numFmt w:val="decimal"/>
      <w:lvlText w:val=""/>
      <w:lvlJc w:val="left"/>
    </w:lvl>
  </w:abstractNum>
  <w:abstractNum w:abstractNumId="3" w15:restartNumberingAfterBreak="0">
    <w:nsid w:val="16417C39"/>
    <w:multiLevelType w:val="hybridMultilevel"/>
    <w:tmpl w:val="AF329152"/>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4" w15:restartNumberingAfterBreak="0">
    <w:nsid w:val="17DE4A79"/>
    <w:multiLevelType w:val="hybridMultilevel"/>
    <w:tmpl w:val="8894FB2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5" w15:restartNumberingAfterBreak="0">
    <w:nsid w:val="1938324A"/>
    <w:multiLevelType w:val="hybridMultilevel"/>
    <w:tmpl w:val="F0A21032"/>
    <w:lvl w:ilvl="0" w:tplc="CB18FD26">
      <w:start w:val="1"/>
      <w:numFmt w:val="bullet"/>
      <w:lvlText w:val="●"/>
      <w:lvlJc w:val="left"/>
      <w:pPr>
        <w:ind w:left="720" w:hanging="360"/>
      </w:pPr>
    </w:lvl>
    <w:lvl w:ilvl="1" w:tplc="42D2CE22">
      <w:start w:val="1"/>
      <w:numFmt w:val="bullet"/>
      <w:lvlText w:val="○"/>
      <w:lvlJc w:val="left"/>
      <w:pPr>
        <w:ind w:left="1440" w:hanging="360"/>
      </w:pPr>
    </w:lvl>
    <w:lvl w:ilvl="2" w:tplc="73307FB8">
      <w:start w:val="1"/>
      <w:numFmt w:val="bullet"/>
      <w:lvlText w:val="■"/>
      <w:lvlJc w:val="left"/>
      <w:pPr>
        <w:ind w:left="2160" w:hanging="360"/>
      </w:pPr>
    </w:lvl>
    <w:lvl w:ilvl="3" w:tplc="520AB92E">
      <w:start w:val="1"/>
      <w:numFmt w:val="bullet"/>
      <w:lvlText w:val="●"/>
      <w:lvlJc w:val="left"/>
      <w:pPr>
        <w:ind w:left="2880" w:hanging="360"/>
      </w:pPr>
    </w:lvl>
    <w:lvl w:ilvl="4" w:tplc="93FEED78">
      <w:start w:val="1"/>
      <w:numFmt w:val="bullet"/>
      <w:lvlText w:val="○"/>
      <w:lvlJc w:val="left"/>
      <w:pPr>
        <w:ind w:left="3600" w:hanging="360"/>
      </w:pPr>
    </w:lvl>
    <w:lvl w:ilvl="5" w:tplc="9A149B50">
      <w:start w:val="1"/>
      <w:numFmt w:val="bullet"/>
      <w:lvlText w:val="■"/>
      <w:lvlJc w:val="left"/>
      <w:pPr>
        <w:ind w:left="4320" w:hanging="360"/>
      </w:pPr>
    </w:lvl>
    <w:lvl w:ilvl="6" w:tplc="F86293D4">
      <w:start w:val="1"/>
      <w:numFmt w:val="bullet"/>
      <w:lvlText w:val="●"/>
      <w:lvlJc w:val="left"/>
      <w:pPr>
        <w:ind w:left="5040" w:hanging="360"/>
      </w:pPr>
    </w:lvl>
    <w:lvl w:ilvl="7" w:tplc="901C0CDA">
      <w:start w:val="1"/>
      <w:numFmt w:val="bullet"/>
      <w:lvlText w:val="●"/>
      <w:lvlJc w:val="left"/>
      <w:pPr>
        <w:ind w:left="5760" w:hanging="360"/>
      </w:pPr>
    </w:lvl>
    <w:lvl w:ilvl="8" w:tplc="65A250DE">
      <w:start w:val="1"/>
      <w:numFmt w:val="bullet"/>
      <w:lvlText w:val="●"/>
      <w:lvlJc w:val="left"/>
      <w:pPr>
        <w:ind w:left="6480" w:hanging="360"/>
      </w:pPr>
    </w:lvl>
  </w:abstractNum>
  <w:abstractNum w:abstractNumId="6" w15:restartNumberingAfterBreak="0">
    <w:nsid w:val="1BF4265E"/>
    <w:multiLevelType w:val="hybridMultilevel"/>
    <w:tmpl w:val="23061172"/>
    <w:lvl w:ilvl="0" w:tplc="8B92C170">
      <w:start w:val="1"/>
      <w:numFmt w:val="decimal"/>
      <w:lvlText w:val="%1."/>
      <w:lvlJc w:val="left"/>
      <w:pPr>
        <w:ind w:left="460" w:hanging="260"/>
      </w:pPr>
    </w:lvl>
    <w:lvl w:ilvl="1" w:tplc="76CAA440">
      <w:numFmt w:val="decimal"/>
      <w:lvlText w:val=""/>
      <w:lvlJc w:val="left"/>
    </w:lvl>
    <w:lvl w:ilvl="2" w:tplc="D74AF2CC">
      <w:numFmt w:val="decimal"/>
      <w:lvlText w:val=""/>
      <w:lvlJc w:val="left"/>
    </w:lvl>
    <w:lvl w:ilvl="3" w:tplc="2E18BBC4">
      <w:numFmt w:val="decimal"/>
      <w:lvlText w:val=""/>
      <w:lvlJc w:val="left"/>
    </w:lvl>
    <w:lvl w:ilvl="4" w:tplc="BF524B3C">
      <w:numFmt w:val="decimal"/>
      <w:lvlText w:val=""/>
      <w:lvlJc w:val="left"/>
    </w:lvl>
    <w:lvl w:ilvl="5" w:tplc="AA48F9C2">
      <w:numFmt w:val="decimal"/>
      <w:lvlText w:val=""/>
      <w:lvlJc w:val="left"/>
    </w:lvl>
    <w:lvl w:ilvl="6" w:tplc="1674C78C">
      <w:numFmt w:val="decimal"/>
      <w:lvlText w:val=""/>
      <w:lvlJc w:val="left"/>
    </w:lvl>
    <w:lvl w:ilvl="7" w:tplc="FEDE5364">
      <w:numFmt w:val="decimal"/>
      <w:lvlText w:val=""/>
      <w:lvlJc w:val="left"/>
    </w:lvl>
    <w:lvl w:ilvl="8" w:tplc="B288AEF2">
      <w:numFmt w:val="decimal"/>
      <w:lvlText w:val=""/>
      <w:lvlJc w:val="left"/>
    </w:lvl>
  </w:abstractNum>
  <w:abstractNum w:abstractNumId="7" w15:restartNumberingAfterBreak="0">
    <w:nsid w:val="1EFF54FF"/>
    <w:multiLevelType w:val="hybridMultilevel"/>
    <w:tmpl w:val="0A0265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8" w15:restartNumberingAfterBreak="0">
    <w:nsid w:val="25B97573"/>
    <w:multiLevelType w:val="hybridMultilevel"/>
    <w:tmpl w:val="279A834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9" w15:restartNumberingAfterBreak="0">
    <w:nsid w:val="448D2521"/>
    <w:multiLevelType w:val="hybridMultilevel"/>
    <w:tmpl w:val="3C88A4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0" w15:restartNumberingAfterBreak="0">
    <w:nsid w:val="45EC4487"/>
    <w:multiLevelType w:val="hybridMultilevel"/>
    <w:tmpl w:val="6840E82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1" w15:restartNumberingAfterBreak="0">
    <w:nsid w:val="66FB0ABD"/>
    <w:multiLevelType w:val="hybridMultilevel"/>
    <w:tmpl w:val="4C2246AC"/>
    <w:lvl w:ilvl="0" w:tplc="C41E3B78">
      <w:start w:val="1"/>
      <w:numFmt w:val="decimal"/>
      <w:lvlText w:val="%1."/>
      <w:lvlJc w:val="left"/>
      <w:pPr>
        <w:ind w:left="460" w:hanging="260"/>
      </w:pPr>
    </w:lvl>
    <w:lvl w:ilvl="1" w:tplc="F52E670C">
      <w:numFmt w:val="decimal"/>
      <w:lvlText w:val=""/>
      <w:lvlJc w:val="left"/>
    </w:lvl>
    <w:lvl w:ilvl="2" w:tplc="BAB667A6">
      <w:numFmt w:val="decimal"/>
      <w:lvlText w:val=""/>
      <w:lvlJc w:val="left"/>
    </w:lvl>
    <w:lvl w:ilvl="3" w:tplc="A4A4CEF8">
      <w:numFmt w:val="decimal"/>
      <w:lvlText w:val=""/>
      <w:lvlJc w:val="left"/>
    </w:lvl>
    <w:lvl w:ilvl="4" w:tplc="88B29578">
      <w:numFmt w:val="decimal"/>
      <w:lvlText w:val=""/>
      <w:lvlJc w:val="left"/>
    </w:lvl>
    <w:lvl w:ilvl="5" w:tplc="BFC436FC">
      <w:numFmt w:val="decimal"/>
      <w:lvlText w:val=""/>
      <w:lvlJc w:val="left"/>
    </w:lvl>
    <w:lvl w:ilvl="6" w:tplc="B122D54C">
      <w:numFmt w:val="decimal"/>
      <w:lvlText w:val=""/>
      <w:lvlJc w:val="left"/>
    </w:lvl>
    <w:lvl w:ilvl="7" w:tplc="76980F9E">
      <w:numFmt w:val="decimal"/>
      <w:lvlText w:val=""/>
      <w:lvlJc w:val="left"/>
    </w:lvl>
    <w:lvl w:ilvl="8" w:tplc="82E4CED4">
      <w:numFmt w:val="decimal"/>
      <w:lvlText w:val=""/>
      <w:lvlJc w:val="left"/>
    </w:lvl>
  </w:abstractNum>
  <w:abstractNum w:abstractNumId="12" w15:restartNumberingAfterBreak="0">
    <w:nsid w:val="6C402870"/>
    <w:multiLevelType w:val="hybridMultilevel"/>
    <w:tmpl w:val="2F12243A"/>
    <w:lvl w:ilvl="0" w:tplc="3BA44B3C">
      <w:start w:val="1"/>
      <w:numFmt w:val="bullet"/>
      <w:lvlText w:val="—"/>
      <w:lvlJc w:val="left"/>
      <w:pPr>
        <w:ind w:left="460" w:hanging="260"/>
      </w:p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num w:numId="1">
    <w:abstractNumId w:val="5"/>
    <w:lvlOverride w:ilvl="0">
      <w:startOverride w:val="1"/>
    </w:lvlOverride>
  </w:num>
  <w:num w:numId="2">
    <w:abstractNumId w:val="12"/>
    <w:lvlOverride w:ilvl="0">
      <w:startOverride w:val="1"/>
    </w:lvlOverride>
  </w:num>
  <w:num w:numId="3">
    <w:abstractNumId w:val="11"/>
    <w:lvlOverride w:ilvl="0">
      <w:startOverride w:val="1"/>
    </w:lvlOverride>
  </w:num>
  <w:num w:numId="4">
    <w:abstractNumId w:val="6"/>
    <w:lvlOverride w:ilvl="0">
      <w:startOverride w:val="1"/>
    </w:lvlOverride>
  </w:num>
  <w:num w:numId="5">
    <w:abstractNumId w:val="2"/>
    <w:lvlOverride w:ilvl="0">
      <w:startOverride w:val="1"/>
    </w:lvlOverride>
  </w:num>
  <w:num w:numId="6">
    <w:abstractNumId w:val="12"/>
  </w:num>
  <w:num w:numId="7">
    <w:abstractNumId w:val="3"/>
  </w:num>
  <w:num w:numId="8">
    <w:abstractNumId w:val="8"/>
  </w:num>
  <w:num w:numId="9">
    <w:abstractNumId w:val="1"/>
  </w:num>
  <w:num w:numId="10">
    <w:abstractNumId w:val="0"/>
  </w:num>
  <w:num w:numId="11">
    <w:abstractNumId w:val="9"/>
  </w:num>
  <w:num w:numId="12">
    <w:abstractNumId w:val="4"/>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6EA"/>
    <w:rsid w:val="00286DB1"/>
    <w:rsid w:val="00304BB5"/>
    <w:rsid w:val="00350EAE"/>
    <w:rsid w:val="003F0D4F"/>
    <w:rsid w:val="00483897"/>
    <w:rsid w:val="00543D7F"/>
    <w:rsid w:val="005F48E8"/>
    <w:rsid w:val="00694A40"/>
    <w:rsid w:val="007374CC"/>
    <w:rsid w:val="008F7E2F"/>
    <w:rsid w:val="009A5A7C"/>
    <w:rsid w:val="009A6C67"/>
    <w:rsid w:val="00A11781"/>
    <w:rsid w:val="00A11F70"/>
    <w:rsid w:val="00A53A14"/>
    <w:rsid w:val="00AB3415"/>
    <w:rsid w:val="00B800AD"/>
    <w:rsid w:val="00B81EE3"/>
    <w:rsid w:val="00C37CDA"/>
    <w:rsid w:val="00DB7200"/>
    <w:rsid w:val="00E476EA"/>
    <w:rsid w:val="00E81FC5"/>
    <w:rsid w:val="00F460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B05CA8-4800-422E-AD15-B8284043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2"/>
        <w:szCs w:val="22"/>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543D7F"/>
    <w:pPr>
      <w:widowControl w:val="0"/>
      <w:autoSpaceDE w:val="0"/>
      <w:autoSpaceDN w:val="0"/>
    </w:pPr>
    <w:rPr>
      <w:rFonts w:ascii="Times New Roman" w:eastAsia="Times New Roman" w:hAnsi="Times New Roman" w:cs="Times New Roman"/>
      <w:lang w:val="en-US" w:eastAsia="en-US"/>
    </w:rPr>
  </w:style>
  <w:style w:type="character" w:customStyle="1" w:styleId="TextoindependienteCar">
    <w:name w:val="Texto independiente Car"/>
    <w:basedOn w:val="Fuentedeprrafopredeter"/>
    <w:link w:val="Textoindependiente"/>
    <w:uiPriority w:val="1"/>
    <w:rsid w:val="00543D7F"/>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12</Pages>
  <Words>4003</Words>
  <Characters>22022</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Install MS Office 2019 Std 64 bits</Company>
  <LinksUpToDate>false</LinksUpToDate>
  <CharactersWithSpaces>25974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Felix Mendoza</cp:lastModifiedBy>
  <cp:revision>29</cp:revision>
  <dcterms:created xsi:type="dcterms:W3CDTF">2026-09-25T23:18:00Z</dcterms:created>
  <dcterms:modified xsi:type="dcterms:W3CDTF">2026-10-29T20:14:00Z</dcterms:modified>
</cp:coreProperties>
</file>