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43D7F" w:rsidRPr="00543D7F" w:rsidRDefault="00543D7F" w:rsidP="00543D7F">
      <w:pPr>
        <w:spacing w:after="200"/>
        <w:jc w:val="center"/>
        <w:rPr>
          <w:rFonts w:ascii="Times New Roman" w:hAnsi="Times New Roman" w:cs="Times New Roman"/>
        </w:rPr>
      </w:pPr>
    </w:p>
    <w:p w:rsidR="00543D7F" w:rsidRPr="008971C0" w:rsidRDefault="00543D7F" w:rsidP="00543D7F">
      <w:pPr>
        <w:spacing w:before="57" w:line="360" w:lineRule="auto"/>
        <w:ind w:left="307" w:right="308"/>
        <w:jc w:val="center"/>
        <w:rPr>
          <w:rFonts w:ascii="Times New Roman" w:hAnsi="Times New Roman" w:cs="Times New Roman"/>
          <w:b/>
          <w:sz w:val="40"/>
        </w:rPr>
      </w:pPr>
      <w:r w:rsidRPr="008971C0">
        <w:rPr>
          <w:rFonts w:ascii="Times New Roman" w:hAnsi="Times New Roman" w:cs="Times New Roman"/>
          <w:b/>
          <w:noProof/>
          <w:sz w:val="40"/>
          <w:lang w:val="en-US" w:eastAsia="en-US"/>
        </w:rPr>
        <w:drawing>
          <wp:anchor distT="0" distB="0" distL="0" distR="0" simplePos="0" relativeHeight="251659264" behindDoc="1" locked="0" layoutInCell="1" allowOverlap="1" wp14:anchorId="4D8FBA0F" wp14:editId="1DE19D81">
            <wp:simplePos x="0" y="0"/>
            <wp:positionH relativeFrom="page">
              <wp:posOffset>3190875</wp:posOffset>
            </wp:positionH>
            <wp:positionV relativeFrom="paragraph">
              <wp:posOffset>937767</wp:posOffset>
            </wp:positionV>
            <wp:extent cx="1384950" cy="1613916"/>
            <wp:effectExtent l="0" t="0" r="0" b="0"/>
            <wp:wrapTopAndBottom/>
            <wp:docPr id="2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4950" cy="1613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971C0">
        <w:rPr>
          <w:rFonts w:ascii="Times New Roman" w:hAnsi="Times New Roman" w:cs="Times New Roman"/>
          <w:b/>
          <w:sz w:val="40"/>
        </w:rPr>
        <w:t>UNIVERSIDAD</w:t>
      </w:r>
      <w:r w:rsidRPr="008971C0">
        <w:rPr>
          <w:rFonts w:ascii="Times New Roman" w:hAnsi="Times New Roman" w:cs="Times New Roman"/>
          <w:b/>
          <w:spacing w:val="-10"/>
          <w:sz w:val="40"/>
        </w:rPr>
        <w:t xml:space="preserve"> </w:t>
      </w:r>
      <w:r w:rsidRPr="008971C0">
        <w:rPr>
          <w:rFonts w:ascii="Times New Roman" w:hAnsi="Times New Roman" w:cs="Times New Roman"/>
          <w:b/>
          <w:sz w:val="40"/>
        </w:rPr>
        <w:t>NACIONAL</w:t>
      </w:r>
      <w:r w:rsidRPr="008971C0">
        <w:rPr>
          <w:rFonts w:ascii="Times New Roman" w:hAnsi="Times New Roman" w:cs="Times New Roman"/>
          <w:b/>
          <w:spacing w:val="-10"/>
          <w:sz w:val="40"/>
        </w:rPr>
        <w:t xml:space="preserve"> </w:t>
      </w:r>
      <w:r w:rsidRPr="008971C0">
        <w:rPr>
          <w:rFonts w:ascii="Times New Roman" w:hAnsi="Times New Roman" w:cs="Times New Roman"/>
          <w:b/>
          <w:sz w:val="40"/>
        </w:rPr>
        <w:t>MAYOR</w:t>
      </w:r>
      <w:r w:rsidRPr="008971C0">
        <w:rPr>
          <w:rFonts w:ascii="Times New Roman" w:hAnsi="Times New Roman" w:cs="Times New Roman"/>
          <w:b/>
          <w:spacing w:val="-12"/>
          <w:sz w:val="40"/>
        </w:rPr>
        <w:t xml:space="preserve"> </w:t>
      </w:r>
      <w:r w:rsidRPr="008971C0">
        <w:rPr>
          <w:rFonts w:ascii="Times New Roman" w:hAnsi="Times New Roman" w:cs="Times New Roman"/>
          <w:b/>
          <w:sz w:val="40"/>
        </w:rPr>
        <w:t>DE</w:t>
      </w:r>
      <w:r w:rsidRPr="008971C0">
        <w:rPr>
          <w:rFonts w:ascii="Times New Roman" w:hAnsi="Times New Roman" w:cs="Times New Roman"/>
          <w:b/>
          <w:spacing w:val="-10"/>
          <w:sz w:val="40"/>
        </w:rPr>
        <w:t xml:space="preserve"> </w:t>
      </w:r>
      <w:r w:rsidRPr="008971C0">
        <w:rPr>
          <w:rFonts w:ascii="Times New Roman" w:hAnsi="Times New Roman" w:cs="Times New Roman"/>
          <w:b/>
          <w:sz w:val="40"/>
        </w:rPr>
        <w:t xml:space="preserve">SAN </w:t>
      </w:r>
      <w:r w:rsidRPr="008971C0">
        <w:rPr>
          <w:rFonts w:ascii="Times New Roman" w:hAnsi="Times New Roman" w:cs="Times New Roman"/>
          <w:b/>
          <w:spacing w:val="-2"/>
          <w:sz w:val="40"/>
        </w:rPr>
        <w:t>MARCOS</w:t>
      </w:r>
    </w:p>
    <w:p w:rsidR="00543D7F" w:rsidRPr="008971C0" w:rsidRDefault="00543D7F" w:rsidP="00543D7F">
      <w:pPr>
        <w:pStyle w:val="Ttulo1"/>
        <w:spacing w:line="360" w:lineRule="auto"/>
        <w:jc w:val="center"/>
        <w:rPr>
          <w:rFonts w:ascii="Times New Roman" w:hAnsi="Times New Roman" w:cs="Times New Roman"/>
          <w:color w:val="auto"/>
          <w:lang w:val="en-US"/>
        </w:rPr>
      </w:pPr>
      <w:r w:rsidRPr="008971C0">
        <w:rPr>
          <w:rFonts w:ascii="Times New Roman" w:hAnsi="Times New Roman" w:cs="Times New Roman"/>
          <w:color w:val="auto"/>
          <w:lang w:val="en-US"/>
        </w:rPr>
        <w:t>Doctoral</w:t>
      </w:r>
      <w:r w:rsidRPr="008971C0">
        <w:rPr>
          <w:rFonts w:ascii="Times New Roman" w:hAnsi="Times New Roman" w:cs="Times New Roman"/>
          <w:color w:val="auto"/>
          <w:spacing w:val="-7"/>
          <w:lang w:val="en-US"/>
        </w:rPr>
        <w:t xml:space="preserve"> </w:t>
      </w:r>
      <w:r w:rsidRPr="008971C0">
        <w:rPr>
          <w:rFonts w:ascii="Times New Roman" w:hAnsi="Times New Roman" w:cs="Times New Roman"/>
          <w:color w:val="auto"/>
          <w:lang w:val="en-US"/>
        </w:rPr>
        <w:t>Program</w:t>
      </w:r>
      <w:r w:rsidRPr="008971C0">
        <w:rPr>
          <w:rFonts w:ascii="Times New Roman" w:hAnsi="Times New Roman" w:cs="Times New Roman"/>
          <w:color w:val="auto"/>
          <w:spacing w:val="-8"/>
          <w:lang w:val="en-US"/>
        </w:rPr>
        <w:t xml:space="preserve"> </w:t>
      </w:r>
      <w:r w:rsidRPr="008971C0">
        <w:rPr>
          <w:rFonts w:ascii="Times New Roman" w:hAnsi="Times New Roman" w:cs="Times New Roman"/>
          <w:color w:val="auto"/>
          <w:lang w:val="en-US"/>
        </w:rPr>
        <w:t>in</w:t>
      </w:r>
      <w:r w:rsidRPr="008971C0">
        <w:rPr>
          <w:rFonts w:ascii="Times New Roman" w:hAnsi="Times New Roman" w:cs="Times New Roman"/>
          <w:color w:val="auto"/>
          <w:spacing w:val="-9"/>
          <w:lang w:val="en-US"/>
        </w:rPr>
        <w:t xml:space="preserve"> </w:t>
      </w:r>
      <w:r w:rsidRPr="008971C0">
        <w:rPr>
          <w:rFonts w:ascii="Times New Roman" w:hAnsi="Times New Roman" w:cs="Times New Roman"/>
          <w:color w:val="auto"/>
          <w:lang w:val="en-US"/>
        </w:rPr>
        <w:t>Deep</w:t>
      </w:r>
      <w:r w:rsidRPr="008971C0">
        <w:rPr>
          <w:rFonts w:ascii="Times New Roman" w:hAnsi="Times New Roman" w:cs="Times New Roman"/>
          <w:color w:val="auto"/>
          <w:spacing w:val="-9"/>
          <w:lang w:val="en-US"/>
        </w:rPr>
        <w:t xml:space="preserve"> </w:t>
      </w:r>
      <w:r w:rsidRPr="008971C0">
        <w:rPr>
          <w:rFonts w:ascii="Times New Roman" w:hAnsi="Times New Roman" w:cs="Times New Roman"/>
          <w:color w:val="auto"/>
          <w:lang w:val="en-US"/>
        </w:rPr>
        <w:t>Tech,</w:t>
      </w:r>
      <w:r w:rsidRPr="008971C0">
        <w:rPr>
          <w:rFonts w:ascii="Times New Roman" w:hAnsi="Times New Roman" w:cs="Times New Roman"/>
          <w:color w:val="auto"/>
          <w:spacing w:val="-8"/>
          <w:lang w:val="en-US"/>
        </w:rPr>
        <w:t xml:space="preserve"> </w:t>
      </w:r>
      <w:r w:rsidRPr="008971C0">
        <w:rPr>
          <w:rFonts w:ascii="Times New Roman" w:hAnsi="Times New Roman" w:cs="Times New Roman"/>
          <w:color w:val="auto"/>
          <w:lang w:val="en-US"/>
        </w:rPr>
        <w:t>Artificial Intelligence &amp; Emerging Technologies</w:t>
      </w:r>
    </w:p>
    <w:p w:rsidR="00543D7F" w:rsidRPr="008971C0" w:rsidRDefault="00543D7F" w:rsidP="00543D7F">
      <w:pPr>
        <w:pStyle w:val="Textoindependiente"/>
        <w:spacing w:before="104"/>
        <w:jc w:val="center"/>
        <w:rPr>
          <w:b/>
          <w:sz w:val="48"/>
        </w:rPr>
      </w:pPr>
    </w:p>
    <w:p w:rsidR="00543D7F" w:rsidRPr="008971C0" w:rsidRDefault="00543D7F" w:rsidP="00543D7F">
      <w:pPr>
        <w:spacing w:line="360" w:lineRule="auto"/>
        <w:ind w:left="307" w:right="308"/>
        <w:jc w:val="center"/>
        <w:rPr>
          <w:rFonts w:ascii="Times New Roman" w:hAnsi="Times New Roman" w:cs="Times New Roman"/>
          <w:b/>
          <w:sz w:val="40"/>
          <w:lang w:val="en-US"/>
        </w:rPr>
      </w:pPr>
      <w:r w:rsidRPr="008971C0">
        <w:rPr>
          <w:rFonts w:ascii="Times New Roman" w:hAnsi="Times New Roman" w:cs="Times New Roman"/>
          <w:b/>
          <w:sz w:val="40"/>
          <w:lang w:val="en-US"/>
        </w:rPr>
        <w:t>Research</w:t>
      </w:r>
      <w:r w:rsidRPr="008971C0">
        <w:rPr>
          <w:rFonts w:ascii="Times New Roman" w:hAnsi="Times New Roman" w:cs="Times New Roman"/>
          <w:b/>
          <w:spacing w:val="-7"/>
          <w:sz w:val="40"/>
          <w:lang w:val="en-US"/>
        </w:rPr>
        <w:t xml:space="preserve"> </w:t>
      </w:r>
      <w:r w:rsidRPr="008971C0">
        <w:rPr>
          <w:rFonts w:ascii="Times New Roman" w:hAnsi="Times New Roman" w:cs="Times New Roman"/>
          <w:b/>
          <w:sz w:val="40"/>
          <w:lang w:val="en-US"/>
        </w:rPr>
        <w:t>Methods</w:t>
      </w:r>
      <w:r w:rsidRPr="008971C0">
        <w:rPr>
          <w:rFonts w:ascii="Times New Roman" w:hAnsi="Times New Roman" w:cs="Times New Roman"/>
          <w:b/>
          <w:spacing w:val="-7"/>
          <w:sz w:val="40"/>
          <w:lang w:val="en-US"/>
        </w:rPr>
        <w:t xml:space="preserve"> </w:t>
      </w:r>
      <w:r w:rsidRPr="008971C0">
        <w:rPr>
          <w:rFonts w:ascii="Times New Roman" w:hAnsi="Times New Roman" w:cs="Times New Roman"/>
          <w:b/>
          <w:sz w:val="40"/>
          <w:lang w:val="en-US"/>
        </w:rPr>
        <w:t>and</w:t>
      </w:r>
      <w:r w:rsidRPr="008971C0">
        <w:rPr>
          <w:rFonts w:ascii="Times New Roman" w:hAnsi="Times New Roman" w:cs="Times New Roman"/>
          <w:b/>
          <w:spacing w:val="-7"/>
          <w:sz w:val="40"/>
          <w:lang w:val="en-US"/>
        </w:rPr>
        <w:t xml:space="preserve"> </w:t>
      </w:r>
      <w:r w:rsidRPr="008971C0">
        <w:rPr>
          <w:rFonts w:ascii="Times New Roman" w:hAnsi="Times New Roman" w:cs="Times New Roman"/>
          <w:b/>
          <w:sz w:val="40"/>
          <w:lang w:val="en-US"/>
        </w:rPr>
        <w:t>Scientific</w:t>
      </w:r>
      <w:r w:rsidRPr="008971C0">
        <w:rPr>
          <w:rFonts w:ascii="Times New Roman" w:hAnsi="Times New Roman" w:cs="Times New Roman"/>
          <w:b/>
          <w:spacing w:val="-7"/>
          <w:sz w:val="40"/>
          <w:lang w:val="en-US"/>
        </w:rPr>
        <w:t xml:space="preserve"> </w:t>
      </w:r>
      <w:r w:rsidRPr="008971C0">
        <w:rPr>
          <w:rFonts w:ascii="Times New Roman" w:hAnsi="Times New Roman" w:cs="Times New Roman"/>
          <w:b/>
          <w:sz w:val="40"/>
          <w:lang w:val="en-US"/>
        </w:rPr>
        <w:t>Integrity</w:t>
      </w:r>
      <w:r w:rsidRPr="008971C0">
        <w:rPr>
          <w:rFonts w:ascii="Times New Roman" w:hAnsi="Times New Roman" w:cs="Times New Roman"/>
          <w:b/>
          <w:spacing w:val="-5"/>
          <w:sz w:val="40"/>
          <w:lang w:val="en-US"/>
        </w:rPr>
        <w:t xml:space="preserve"> </w:t>
      </w:r>
      <w:r w:rsidRPr="008971C0">
        <w:rPr>
          <w:rFonts w:ascii="Times New Roman" w:hAnsi="Times New Roman" w:cs="Times New Roman"/>
          <w:b/>
          <w:sz w:val="40"/>
          <w:lang w:val="en-US"/>
        </w:rPr>
        <w:t>in</w:t>
      </w:r>
      <w:r w:rsidRPr="008971C0">
        <w:rPr>
          <w:rFonts w:ascii="Times New Roman" w:hAnsi="Times New Roman" w:cs="Times New Roman"/>
          <w:b/>
          <w:spacing w:val="-5"/>
          <w:sz w:val="40"/>
          <w:lang w:val="en-US"/>
        </w:rPr>
        <w:t xml:space="preserve"> </w:t>
      </w:r>
      <w:r w:rsidRPr="008971C0">
        <w:rPr>
          <w:rFonts w:ascii="Times New Roman" w:hAnsi="Times New Roman" w:cs="Times New Roman"/>
          <w:b/>
          <w:sz w:val="40"/>
          <w:lang w:val="en-US"/>
        </w:rPr>
        <w:t>AI and Advanced Technologies</w:t>
      </w:r>
    </w:p>
    <w:p w:rsidR="00543D7F" w:rsidRPr="008971C0" w:rsidRDefault="00543D7F" w:rsidP="00543D7F">
      <w:pPr>
        <w:spacing w:before="381" w:line="391" w:lineRule="auto"/>
        <w:ind w:right="4"/>
        <w:jc w:val="center"/>
        <w:rPr>
          <w:rFonts w:ascii="Times New Roman" w:hAnsi="Times New Roman" w:cs="Times New Roman"/>
          <w:b/>
          <w:sz w:val="27"/>
          <w:lang w:val="en-US"/>
        </w:rPr>
      </w:pPr>
      <w:r w:rsidRPr="008971C0">
        <w:rPr>
          <w:rFonts w:ascii="Times New Roman" w:hAnsi="Times New Roman" w:cs="Times New Roman"/>
          <w:b/>
          <w:sz w:val="27"/>
          <w:lang w:val="en-US"/>
        </w:rPr>
        <w:t xml:space="preserve">DELIVERABLE No. </w:t>
      </w:r>
      <w:r w:rsidR="001A30C5" w:rsidRPr="008971C0">
        <w:rPr>
          <w:rFonts w:ascii="Times New Roman" w:hAnsi="Times New Roman" w:cs="Times New Roman"/>
          <w:b/>
          <w:sz w:val="27"/>
          <w:lang w:val="en-US"/>
        </w:rPr>
        <w:t>4</w:t>
      </w:r>
      <w:r w:rsidRPr="008971C0">
        <w:rPr>
          <w:rFonts w:ascii="Times New Roman" w:hAnsi="Times New Roman" w:cs="Times New Roman"/>
          <w:b/>
          <w:sz w:val="27"/>
          <w:lang w:val="en-US"/>
        </w:rPr>
        <w:t xml:space="preserve">: </w:t>
      </w:r>
      <w:r w:rsidR="001A30C5" w:rsidRPr="008971C0">
        <w:rPr>
          <w:rFonts w:ascii="Times New Roman" w:hAnsi="Times New Roman" w:cs="Times New Roman"/>
          <w:b/>
          <w:sz w:val="27"/>
          <w:lang w:val="en-US"/>
        </w:rPr>
        <w:t>Systematic Review</w:t>
      </w:r>
    </w:p>
    <w:p w:rsidR="00543D7F" w:rsidRPr="008971C0" w:rsidRDefault="00543D7F" w:rsidP="00543D7F">
      <w:pPr>
        <w:pStyle w:val="Textoindependiente"/>
        <w:jc w:val="center"/>
        <w:rPr>
          <w:b/>
          <w:sz w:val="27"/>
        </w:rPr>
      </w:pPr>
    </w:p>
    <w:p w:rsidR="00543D7F" w:rsidRPr="008971C0" w:rsidRDefault="00543D7F" w:rsidP="00543D7F">
      <w:pPr>
        <w:pStyle w:val="Textoindependiente"/>
        <w:spacing w:before="131"/>
        <w:jc w:val="center"/>
        <w:rPr>
          <w:b/>
          <w:sz w:val="27"/>
        </w:rPr>
      </w:pPr>
    </w:p>
    <w:p w:rsidR="00543D7F" w:rsidRPr="008971C0" w:rsidRDefault="00543D7F" w:rsidP="00543D7F">
      <w:pPr>
        <w:tabs>
          <w:tab w:val="left" w:pos="3204"/>
        </w:tabs>
        <w:ind w:left="530"/>
        <w:jc w:val="center"/>
        <w:rPr>
          <w:rFonts w:ascii="Times New Roman" w:hAnsi="Times New Roman" w:cs="Times New Roman"/>
          <w:b/>
          <w:sz w:val="27"/>
          <w:lang w:val="en-US"/>
        </w:rPr>
      </w:pPr>
      <w:r w:rsidRPr="008971C0">
        <w:rPr>
          <w:rFonts w:ascii="Times New Roman" w:hAnsi="Times New Roman" w:cs="Times New Roman"/>
          <w:b/>
          <w:sz w:val="27"/>
          <w:lang w:val="en-US"/>
        </w:rPr>
        <w:t>Course</w:t>
      </w:r>
      <w:r w:rsidRPr="008971C0">
        <w:rPr>
          <w:rFonts w:ascii="Times New Roman" w:hAnsi="Times New Roman" w:cs="Times New Roman"/>
          <w:b/>
          <w:spacing w:val="-3"/>
          <w:sz w:val="27"/>
          <w:lang w:val="en-US"/>
        </w:rPr>
        <w:t xml:space="preserve"> </w:t>
      </w:r>
      <w:r w:rsidRPr="008971C0">
        <w:rPr>
          <w:rFonts w:ascii="Times New Roman" w:hAnsi="Times New Roman" w:cs="Times New Roman"/>
          <w:b/>
          <w:spacing w:val="-2"/>
          <w:sz w:val="27"/>
          <w:lang w:val="en-US"/>
        </w:rPr>
        <w:t>Instructor</w:t>
      </w:r>
      <w:r w:rsidRPr="008971C0">
        <w:rPr>
          <w:rFonts w:ascii="Times New Roman" w:hAnsi="Times New Roman" w:cs="Times New Roman"/>
          <w:b/>
          <w:sz w:val="27"/>
          <w:lang w:val="en-US"/>
        </w:rPr>
        <w:t>: Dr.</w:t>
      </w:r>
      <w:r w:rsidRPr="008971C0">
        <w:rPr>
          <w:rFonts w:ascii="Times New Roman" w:hAnsi="Times New Roman" w:cs="Times New Roman"/>
          <w:b/>
          <w:spacing w:val="-5"/>
          <w:sz w:val="27"/>
          <w:lang w:val="en-US"/>
        </w:rPr>
        <w:t xml:space="preserve"> </w:t>
      </w:r>
      <w:proofErr w:type="spellStart"/>
      <w:r w:rsidRPr="008971C0">
        <w:rPr>
          <w:rFonts w:ascii="Times New Roman" w:hAnsi="Times New Roman" w:cs="Times New Roman"/>
          <w:b/>
          <w:sz w:val="27"/>
          <w:lang w:val="en-US"/>
        </w:rPr>
        <w:t>Loveleen</w:t>
      </w:r>
      <w:proofErr w:type="spellEnd"/>
      <w:r w:rsidRPr="008971C0">
        <w:rPr>
          <w:rFonts w:ascii="Times New Roman" w:hAnsi="Times New Roman" w:cs="Times New Roman"/>
          <w:b/>
          <w:spacing w:val="-6"/>
          <w:sz w:val="27"/>
          <w:lang w:val="en-US"/>
        </w:rPr>
        <w:t xml:space="preserve"> </w:t>
      </w:r>
      <w:r w:rsidRPr="008971C0">
        <w:rPr>
          <w:rFonts w:ascii="Times New Roman" w:hAnsi="Times New Roman" w:cs="Times New Roman"/>
          <w:b/>
          <w:spacing w:val="-4"/>
          <w:sz w:val="27"/>
          <w:lang w:val="en-US"/>
        </w:rPr>
        <w:t>Gaur</w:t>
      </w:r>
    </w:p>
    <w:p w:rsidR="00543D7F" w:rsidRPr="008971C0" w:rsidRDefault="00543D7F" w:rsidP="00543D7F">
      <w:pPr>
        <w:pStyle w:val="Textoindependiente"/>
        <w:spacing w:before="133"/>
        <w:jc w:val="center"/>
        <w:rPr>
          <w:b/>
          <w:sz w:val="27"/>
        </w:rPr>
      </w:pPr>
    </w:p>
    <w:p w:rsidR="00543D7F" w:rsidRPr="008971C0" w:rsidRDefault="00543D7F" w:rsidP="00543D7F">
      <w:pPr>
        <w:tabs>
          <w:tab w:val="left" w:pos="3204"/>
        </w:tabs>
        <w:ind w:left="530"/>
        <w:jc w:val="center"/>
        <w:rPr>
          <w:rFonts w:ascii="Times New Roman" w:hAnsi="Times New Roman" w:cs="Times New Roman"/>
          <w:b/>
          <w:sz w:val="27"/>
        </w:rPr>
      </w:pPr>
      <w:proofErr w:type="spellStart"/>
      <w:r w:rsidRPr="008971C0">
        <w:rPr>
          <w:rFonts w:ascii="Times New Roman" w:hAnsi="Times New Roman" w:cs="Times New Roman"/>
          <w:b/>
          <w:spacing w:val="-2"/>
          <w:sz w:val="27"/>
        </w:rPr>
        <w:t>Student</w:t>
      </w:r>
      <w:proofErr w:type="spellEnd"/>
      <w:r w:rsidRPr="008971C0">
        <w:rPr>
          <w:rFonts w:ascii="Times New Roman" w:hAnsi="Times New Roman" w:cs="Times New Roman"/>
          <w:b/>
          <w:spacing w:val="-2"/>
          <w:sz w:val="27"/>
        </w:rPr>
        <w:t>:</w:t>
      </w:r>
      <w:r w:rsidRPr="008971C0">
        <w:rPr>
          <w:rFonts w:ascii="Times New Roman" w:hAnsi="Times New Roman" w:cs="Times New Roman"/>
          <w:b/>
          <w:sz w:val="27"/>
        </w:rPr>
        <w:t xml:space="preserve"> Félix Richar Mendoza Pumacahua</w:t>
      </w:r>
    </w:p>
    <w:p w:rsidR="00543D7F" w:rsidRPr="008971C0" w:rsidRDefault="00543D7F" w:rsidP="00543D7F">
      <w:pPr>
        <w:pStyle w:val="Textoindependiente"/>
        <w:jc w:val="center"/>
        <w:rPr>
          <w:b/>
          <w:sz w:val="27"/>
          <w:lang w:val="es-ES"/>
        </w:rPr>
      </w:pPr>
    </w:p>
    <w:p w:rsidR="00543D7F" w:rsidRPr="008971C0" w:rsidRDefault="00543D7F" w:rsidP="00543D7F">
      <w:pPr>
        <w:pStyle w:val="Textoindependiente"/>
        <w:jc w:val="center"/>
        <w:rPr>
          <w:b/>
          <w:sz w:val="27"/>
          <w:lang w:val="es-ES"/>
        </w:rPr>
      </w:pPr>
    </w:p>
    <w:p w:rsidR="00543D7F" w:rsidRPr="008971C0" w:rsidRDefault="00543D7F" w:rsidP="00543D7F">
      <w:pPr>
        <w:pStyle w:val="Textoindependiente"/>
        <w:spacing w:before="270"/>
        <w:jc w:val="center"/>
        <w:rPr>
          <w:b/>
          <w:sz w:val="27"/>
          <w:lang w:val="es-ES"/>
        </w:rPr>
      </w:pPr>
    </w:p>
    <w:p w:rsidR="00543D7F" w:rsidRPr="008971C0" w:rsidRDefault="00543D7F" w:rsidP="00543D7F">
      <w:pPr>
        <w:pStyle w:val="Ttulo2"/>
        <w:jc w:val="center"/>
        <w:rPr>
          <w:rFonts w:ascii="Times New Roman" w:hAnsi="Times New Roman" w:cs="Times New Roman"/>
          <w:color w:val="auto"/>
        </w:rPr>
      </w:pPr>
      <w:r w:rsidRPr="008971C0">
        <w:rPr>
          <w:rFonts w:ascii="Times New Roman" w:hAnsi="Times New Roman" w:cs="Times New Roman"/>
          <w:color w:val="auto"/>
        </w:rPr>
        <w:t>2026</w:t>
      </w:r>
      <w:r w:rsidRPr="008971C0">
        <w:rPr>
          <w:rFonts w:ascii="Times New Roman" w:hAnsi="Times New Roman" w:cs="Times New Roman"/>
          <w:color w:val="auto"/>
          <w:spacing w:val="-2"/>
        </w:rPr>
        <w:t xml:space="preserve"> </w:t>
      </w:r>
      <w:r w:rsidRPr="008971C0">
        <w:rPr>
          <w:rFonts w:ascii="Times New Roman" w:hAnsi="Times New Roman" w:cs="Times New Roman"/>
          <w:color w:val="auto"/>
        </w:rPr>
        <w:t>-</w:t>
      </w:r>
      <w:r w:rsidRPr="008971C0">
        <w:rPr>
          <w:rFonts w:ascii="Times New Roman" w:hAnsi="Times New Roman" w:cs="Times New Roman"/>
          <w:color w:val="auto"/>
          <w:spacing w:val="-1"/>
        </w:rPr>
        <w:t xml:space="preserve"> </w:t>
      </w:r>
      <w:r w:rsidRPr="008971C0">
        <w:rPr>
          <w:rFonts w:ascii="Times New Roman" w:hAnsi="Times New Roman" w:cs="Times New Roman"/>
          <w:color w:val="auto"/>
          <w:spacing w:val="-5"/>
        </w:rPr>
        <w:t>II</w:t>
      </w:r>
    </w:p>
    <w:p w:rsidR="00543D7F" w:rsidRPr="008971C0" w:rsidRDefault="00543D7F">
      <w:pPr>
        <w:spacing w:after="200"/>
        <w:jc w:val="center"/>
      </w:pPr>
    </w:p>
    <w:p w:rsidR="00543D7F" w:rsidRPr="008971C0" w:rsidRDefault="00543D7F">
      <w:r w:rsidRPr="008971C0">
        <w:br w:type="page"/>
      </w:r>
    </w:p>
    <w:p w:rsidR="00C01733" w:rsidRPr="008971C0" w:rsidRDefault="00C01733" w:rsidP="00C01733">
      <w:pPr>
        <w:pStyle w:val="Ttulo1"/>
        <w:numPr>
          <w:ilvl w:val="0"/>
          <w:numId w:val="15"/>
        </w:numPr>
        <w:spacing w:before="400" w:after="200"/>
        <w:ind w:hanging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971C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Mini revisión sistemática (Mini Systematic Review)</w:t>
      </w:r>
    </w:p>
    <w:p w:rsidR="00C01733" w:rsidRPr="008971C0" w:rsidRDefault="00C01733" w:rsidP="00C01733">
      <w:pPr>
        <w:pStyle w:val="Ttulo1"/>
        <w:spacing w:before="400" w:after="200"/>
        <w:rPr>
          <w:rFonts w:ascii="Times New Roman" w:hAnsi="Times New Roman" w:cs="Times New Roman"/>
          <w:color w:val="0070C0"/>
          <w:sz w:val="22"/>
          <w:szCs w:val="22"/>
        </w:rPr>
      </w:pPr>
      <w:r w:rsidRPr="008971C0">
        <w:rPr>
          <w:rFonts w:ascii="Times New Roman" w:hAnsi="Times New Roman" w:cs="Times New Roman"/>
          <w:color w:val="0070C0"/>
          <w:sz w:val="22"/>
          <w:szCs w:val="22"/>
        </w:rPr>
        <w:t>10 estudios identificados mediante cadenas de búsqueda documentadas en Scopus y Semantic Scholar</w:t>
      </w:r>
    </w:p>
    <w:p w:rsidR="00286C12" w:rsidRPr="008971C0" w:rsidRDefault="00F27056">
      <w:pPr>
        <w:keepNext/>
        <w:spacing w:before="160" w:after="80"/>
      </w:pPr>
      <w:r w:rsidRPr="008971C0">
        <w:rPr>
          <w:rFonts w:ascii="Times New Roman" w:eastAsia="Times New Roman" w:hAnsi="Times New Roman"/>
          <w:b/>
          <w:sz w:val="24"/>
        </w:rPr>
        <w:t>Pregunta y alcance de la revisión</w:t>
      </w:r>
    </w:p>
    <w:p w:rsidR="00C933E0" w:rsidRPr="008971C0" w:rsidRDefault="00C933E0">
      <w:pPr>
        <w:spacing w:after="120"/>
        <w:jc w:val="both"/>
        <w:rPr>
          <w:rFonts w:ascii="Times New Roman" w:eastAsia="Times New Roman" w:hAnsi="Times New Roman"/>
        </w:rPr>
      </w:pPr>
    </w:p>
    <w:p w:rsidR="002D55DC" w:rsidRPr="008971C0" w:rsidRDefault="00F27056">
      <w:pPr>
        <w:spacing w:after="120"/>
        <w:jc w:val="both"/>
        <w:rPr>
          <w:rFonts w:ascii="Times New Roman" w:eastAsia="Times New Roman" w:hAnsi="Times New Roman"/>
        </w:rPr>
      </w:pPr>
      <w:r w:rsidRPr="008971C0">
        <w:rPr>
          <w:rFonts w:ascii="Times New Roman" w:eastAsia="Times New Roman" w:hAnsi="Times New Roman"/>
        </w:rPr>
        <w:t xml:space="preserve">Esta mini revisión sistemática explora cómo la literatura reciente (2022–2026) propone </w:t>
      </w:r>
      <w:r w:rsidRPr="008971C0">
        <w:rPr>
          <w:rFonts w:ascii="Times New Roman" w:eastAsia="Times New Roman" w:hAnsi="Times New Roman"/>
          <w:b/>
        </w:rPr>
        <w:t>arquitecturas de referencia, arquitectura empresarial y marcos arquitectónicos</w:t>
      </w:r>
      <w:r w:rsidRPr="008971C0">
        <w:rPr>
          <w:rFonts w:ascii="Times New Roman" w:eastAsia="Times New Roman" w:hAnsi="Times New Roman"/>
        </w:rPr>
        <w:t xml:space="preserve"> para integrar de forma gobernada la </w:t>
      </w:r>
      <w:r w:rsidRPr="008971C0">
        <w:rPr>
          <w:rFonts w:ascii="Times New Roman" w:eastAsia="Times New Roman" w:hAnsi="Times New Roman"/>
          <w:b/>
        </w:rPr>
        <w:t>IA generativa y agéntica</w:t>
      </w:r>
      <w:r w:rsidRPr="008971C0">
        <w:rPr>
          <w:rFonts w:ascii="Times New Roman" w:eastAsia="Times New Roman" w:hAnsi="Times New Roman"/>
        </w:rPr>
        <w:t xml:space="preserve"> (LLM, agentes, sistemas multiagente) en el </w:t>
      </w:r>
      <w:r w:rsidRPr="008971C0">
        <w:rPr>
          <w:rFonts w:ascii="Times New Roman" w:eastAsia="Times New Roman" w:hAnsi="Times New Roman"/>
          <w:b/>
        </w:rPr>
        <w:t>desarrollo de software</w:t>
      </w:r>
      <w:r w:rsidRPr="008971C0">
        <w:rPr>
          <w:rFonts w:ascii="Times New Roman" w:eastAsia="Times New Roman" w:hAnsi="Times New Roman"/>
        </w:rPr>
        <w:t xml:space="preserve">, y con qué mecanismos de </w:t>
      </w:r>
      <w:r w:rsidRPr="008971C0">
        <w:rPr>
          <w:rFonts w:ascii="Times New Roman" w:eastAsia="Times New Roman" w:hAnsi="Times New Roman"/>
          <w:b/>
        </w:rPr>
        <w:t>cumplimiento, verificación y gobernanza</w:t>
      </w:r>
      <w:r w:rsidRPr="008971C0">
        <w:rPr>
          <w:rFonts w:ascii="Times New Roman" w:eastAsia="Times New Roman" w:hAnsi="Times New Roman"/>
        </w:rPr>
        <w:t xml:space="preserve"> lo hacen. Pregunta guía:</w:t>
      </w:r>
    </w:p>
    <w:p w:rsidR="00D77229" w:rsidRPr="008971C0" w:rsidRDefault="00D77229" w:rsidP="00D77229">
      <w:pPr>
        <w:jc w:val="both"/>
        <w:rPr>
          <w:rFonts w:ascii="Times New Roman" w:hAnsi="Times New Roman" w:cs="Times New Roman"/>
        </w:rPr>
      </w:pPr>
      <w:r w:rsidRPr="008971C0">
        <w:rPr>
          <w:rFonts w:ascii="Times New Roman" w:hAnsi="Times New Roman" w:cs="Times New Roman"/>
        </w:rPr>
        <w:t>¿Cómo debería estructurarse una arquitectura de referencia basada en agentes de IA generativos especializados para automatizar y verificar el desarrollo de sistemas de información de estado críticos, garantizando su conformidad con la arquitectura empresarial y las normativas aplicables?</w:t>
      </w:r>
    </w:p>
    <w:p w:rsidR="00D77229" w:rsidRPr="008971C0" w:rsidRDefault="00D77229">
      <w:pPr>
        <w:spacing w:after="120"/>
        <w:jc w:val="both"/>
        <w:rPr>
          <w:rFonts w:ascii="Times New Roman" w:eastAsia="Times New Roman" w:hAnsi="Times New Roman"/>
        </w:rPr>
      </w:pPr>
    </w:p>
    <w:p w:rsidR="00286C12" w:rsidRPr="008971C0" w:rsidRDefault="00F27056">
      <w:pPr>
        <w:spacing w:after="120"/>
        <w:jc w:val="both"/>
      </w:pPr>
      <w:r w:rsidRPr="008971C0">
        <w:rPr>
          <w:rFonts w:ascii="Times New Roman" w:eastAsia="Times New Roman" w:hAnsi="Times New Roman"/>
        </w:rPr>
        <w:t>La pregunta se alinea con el problema doctoral de gobernar el uso de IA en el desarrollo de soluciones sobre una arquitectura de referencia institucional (caso de aplicación: el SIIP de la ONP, cuya Arquitectura de Referencia exige una Evaluación de Conformidad Arquitectónica antes de iniciar el desarrollo e incluye explícitamente las soluciones de inteligencia artificial en su alcance).</w:t>
      </w:r>
    </w:p>
    <w:p w:rsidR="00286C12" w:rsidRPr="008971C0" w:rsidRDefault="00F27056">
      <w:pPr>
        <w:keepNext/>
        <w:spacing w:before="160" w:after="80"/>
        <w:rPr>
          <w:rFonts w:ascii="Times New Roman" w:eastAsia="Times New Roman" w:hAnsi="Times New Roman"/>
          <w:b/>
          <w:sz w:val="24"/>
        </w:rPr>
      </w:pPr>
      <w:r w:rsidRPr="008971C0">
        <w:rPr>
          <w:rFonts w:ascii="Times New Roman" w:eastAsia="Times New Roman" w:hAnsi="Times New Roman"/>
          <w:b/>
          <w:sz w:val="24"/>
        </w:rPr>
        <w:t>Estrategia de búsqueda</w:t>
      </w:r>
    </w:p>
    <w:p w:rsidR="00D4578A" w:rsidRPr="008971C0" w:rsidRDefault="00D4578A">
      <w:pPr>
        <w:keepNext/>
        <w:spacing w:before="160" w:after="80"/>
      </w:pPr>
    </w:p>
    <w:p w:rsidR="00286C12" w:rsidRPr="008971C0" w:rsidRDefault="00F27056">
      <w:pPr>
        <w:spacing w:after="80"/>
        <w:rPr>
          <w:lang w:val="en-US"/>
        </w:rPr>
      </w:pPr>
      <w:r w:rsidRPr="008971C0">
        <w:rPr>
          <w:rFonts w:ascii="Times New Roman" w:eastAsia="Times New Roman" w:hAnsi="Times New Roman"/>
          <w:b/>
        </w:rPr>
        <w:t>Base de datos:</w:t>
      </w:r>
      <w:r w:rsidRPr="008971C0">
        <w:rPr>
          <w:rFonts w:ascii="Times New Roman" w:eastAsia="Times New Roman" w:hAnsi="Times New Roman"/>
        </w:rPr>
        <w:t xml:space="preserve"> Scopus (campos TITLE-ABS-KEY). </w:t>
      </w:r>
      <w:r w:rsidRPr="008971C0">
        <w:rPr>
          <w:rFonts w:ascii="Times New Roman" w:eastAsia="Times New Roman" w:hAnsi="Times New Roman"/>
          <w:b/>
        </w:rPr>
        <w:t>Filtro temporal:</w:t>
      </w:r>
      <w:r w:rsidRPr="008971C0">
        <w:rPr>
          <w:rFonts w:ascii="Times New Roman" w:eastAsia="Times New Roman" w:hAnsi="Times New Roman"/>
        </w:rPr>
        <w:t xml:space="preserve"> PUBYEAR &gt; 2021. </w:t>
      </w:r>
      <w:r w:rsidRPr="008971C0">
        <w:rPr>
          <w:rFonts w:ascii="Times New Roman" w:eastAsia="Times New Roman" w:hAnsi="Times New Roman"/>
          <w:b/>
        </w:rPr>
        <w:t>Resultado:</w:t>
      </w:r>
      <w:r w:rsidRPr="008971C0">
        <w:rPr>
          <w:rFonts w:ascii="Times New Roman" w:eastAsia="Times New Roman" w:hAnsi="Times New Roman"/>
        </w:rPr>
        <w:t xml:space="preserve"> 21 documentos. </w:t>
      </w:r>
      <w:proofErr w:type="spellStart"/>
      <w:r w:rsidRPr="008971C0">
        <w:rPr>
          <w:rFonts w:ascii="Times New Roman" w:eastAsia="Times New Roman" w:hAnsi="Times New Roman"/>
          <w:b/>
          <w:lang w:val="en-US"/>
        </w:rPr>
        <w:t>Fecha</w:t>
      </w:r>
      <w:proofErr w:type="spellEnd"/>
      <w:r w:rsidRPr="008971C0">
        <w:rPr>
          <w:rFonts w:ascii="Times New Roman" w:eastAsia="Times New Roman" w:hAnsi="Times New Roman"/>
          <w:b/>
          <w:lang w:val="en-US"/>
        </w:rPr>
        <w:t xml:space="preserve"> de </w:t>
      </w:r>
      <w:proofErr w:type="spellStart"/>
      <w:r w:rsidRPr="008971C0">
        <w:rPr>
          <w:rFonts w:ascii="Times New Roman" w:eastAsia="Times New Roman" w:hAnsi="Times New Roman"/>
          <w:b/>
          <w:lang w:val="en-US"/>
        </w:rPr>
        <w:t>ejecución</w:t>
      </w:r>
      <w:proofErr w:type="spellEnd"/>
      <w:r w:rsidRPr="008971C0">
        <w:rPr>
          <w:rFonts w:ascii="Times New Roman" w:eastAsia="Times New Roman" w:hAnsi="Times New Roman"/>
          <w:b/>
          <w:lang w:val="en-US"/>
        </w:rPr>
        <w:t>:</w:t>
      </w:r>
      <w:r w:rsidRPr="008971C0">
        <w:rPr>
          <w:rFonts w:ascii="Times New Roman" w:eastAsia="Times New Roman" w:hAnsi="Times New Roman"/>
          <w:lang w:val="en-US"/>
        </w:rPr>
        <w:t xml:space="preserve"> </w:t>
      </w:r>
      <w:proofErr w:type="spellStart"/>
      <w:r w:rsidR="00951020" w:rsidRPr="008971C0">
        <w:rPr>
          <w:rFonts w:ascii="Times New Roman" w:eastAsia="Times New Roman" w:hAnsi="Times New Roman"/>
          <w:lang w:val="en-US"/>
        </w:rPr>
        <w:t>setiembre</w:t>
      </w:r>
      <w:proofErr w:type="spellEnd"/>
      <w:r w:rsidR="00951020" w:rsidRPr="008971C0">
        <w:rPr>
          <w:rFonts w:ascii="Times New Roman" w:eastAsia="Times New Roman" w:hAnsi="Times New Roman"/>
          <w:lang w:val="en-US"/>
        </w:rPr>
        <w:t xml:space="preserve"> de 2026</w:t>
      </w:r>
      <w:r w:rsidRPr="008971C0">
        <w:rPr>
          <w:rFonts w:ascii="Times New Roman" w:eastAsia="Times New Roman" w:hAnsi="Times New Roman"/>
          <w:lang w:val="en-US"/>
        </w:rPr>
        <w:t>.</w:t>
      </w:r>
    </w:p>
    <w:p w:rsidR="00286C12" w:rsidRPr="008971C0" w:rsidRDefault="00F27056">
      <w:pPr>
        <w:spacing w:after="120"/>
        <w:ind w:left="288"/>
        <w:rPr>
          <w:rFonts w:ascii="Consolas" w:eastAsia="Times New Roman" w:hAnsi="Consolas"/>
          <w:sz w:val="17"/>
          <w:lang w:val="en-US"/>
        </w:rPr>
      </w:pPr>
      <w:r w:rsidRPr="008971C0">
        <w:rPr>
          <w:rFonts w:ascii="Consolas" w:eastAsia="Times New Roman" w:hAnsi="Consolas"/>
          <w:sz w:val="17"/>
          <w:lang w:val="en-US"/>
        </w:rPr>
        <w:t xml:space="preserve">TITLE-ABS-KEY(("generative AI" OR </w:t>
      </w:r>
      <w:proofErr w:type="spellStart"/>
      <w:r w:rsidRPr="008971C0">
        <w:rPr>
          <w:rFonts w:ascii="Consolas" w:eastAsia="Times New Roman" w:hAnsi="Consolas"/>
          <w:sz w:val="17"/>
          <w:lang w:val="en-US"/>
        </w:rPr>
        <w:t>genAI</w:t>
      </w:r>
      <w:proofErr w:type="spellEnd"/>
      <w:r w:rsidRPr="008971C0">
        <w:rPr>
          <w:rFonts w:ascii="Consolas" w:eastAsia="Times New Roman" w:hAnsi="Consolas"/>
          <w:sz w:val="17"/>
          <w:lang w:val="en-US"/>
        </w:rPr>
        <w:t xml:space="preserve"> OR "large language model*" OR LLM* OR "agentic AI" OR "AI agent*" OR "LLM agent*" OR "multi-agent") AND ("reference architecture*" OR "enterprise architecture" OR "architectural framework*" OR TOGAF OR ArchiMate) AND ("software development" OR "software engineering" OR "code generation" OR SDLC) AND (</w:t>
      </w:r>
      <w:proofErr w:type="spellStart"/>
      <w:r w:rsidRPr="008971C0">
        <w:rPr>
          <w:rFonts w:ascii="Consolas" w:eastAsia="Times New Roman" w:hAnsi="Consolas"/>
          <w:sz w:val="17"/>
          <w:lang w:val="en-US"/>
        </w:rPr>
        <w:t>complian</w:t>
      </w:r>
      <w:proofErr w:type="spellEnd"/>
      <w:r w:rsidRPr="008971C0">
        <w:rPr>
          <w:rFonts w:ascii="Consolas" w:eastAsia="Times New Roman" w:hAnsi="Consolas"/>
          <w:sz w:val="17"/>
          <w:lang w:val="en-US"/>
        </w:rPr>
        <w:t xml:space="preserve">* OR </w:t>
      </w:r>
      <w:proofErr w:type="spellStart"/>
      <w:r w:rsidRPr="008971C0">
        <w:rPr>
          <w:rFonts w:ascii="Consolas" w:eastAsia="Times New Roman" w:hAnsi="Consolas"/>
          <w:sz w:val="17"/>
          <w:lang w:val="en-US"/>
        </w:rPr>
        <w:t>regulat</w:t>
      </w:r>
      <w:proofErr w:type="spellEnd"/>
      <w:r w:rsidRPr="008971C0">
        <w:rPr>
          <w:rFonts w:ascii="Consolas" w:eastAsia="Times New Roman" w:hAnsi="Consolas"/>
          <w:sz w:val="17"/>
          <w:lang w:val="en-US"/>
        </w:rPr>
        <w:t xml:space="preserve">* OR </w:t>
      </w:r>
      <w:proofErr w:type="spellStart"/>
      <w:r w:rsidRPr="008971C0">
        <w:rPr>
          <w:rFonts w:ascii="Consolas" w:eastAsia="Times New Roman" w:hAnsi="Consolas"/>
          <w:sz w:val="17"/>
          <w:lang w:val="en-US"/>
        </w:rPr>
        <w:t>verif</w:t>
      </w:r>
      <w:proofErr w:type="spellEnd"/>
      <w:r w:rsidRPr="008971C0">
        <w:rPr>
          <w:rFonts w:ascii="Consolas" w:eastAsia="Times New Roman" w:hAnsi="Consolas"/>
          <w:sz w:val="17"/>
          <w:lang w:val="en-US"/>
        </w:rPr>
        <w:t xml:space="preserve">* OR </w:t>
      </w:r>
      <w:proofErr w:type="spellStart"/>
      <w:r w:rsidRPr="008971C0">
        <w:rPr>
          <w:rFonts w:ascii="Consolas" w:eastAsia="Times New Roman" w:hAnsi="Consolas"/>
          <w:sz w:val="17"/>
          <w:lang w:val="en-US"/>
        </w:rPr>
        <w:t>validat</w:t>
      </w:r>
      <w:proofErr w:type="spellEnd"/>
      <w:r w:rsidRPr="008971C0">
        <w:rPr>
          <w:rFonts w:ascii="Consolas" w:eastAsia="Times New Roman" w:hAnsi="Consolas"/>
          <w:sz w:val="17"/>
          <w:lang w:val="en-US"/>
        </w:rPr>
        <w:t>* OR governance)) AND PUBYEAR &gt; 2021</w:t>
      </w:r>
    </w:p>
    <w:p w:rsidR="00CA7381" w:rsidRPr="008971C0" w:rsidRDefault="00CA7381" w:rsidP="00D4578A">
      <w:pPr>
        <w:spacing w:after="120"/>
        <w:jc w:val="both"/>
        <w:rPr>
          <w:rFonts w:ascii="Times New Roman" w:eastAsia="Times New Roman" w:hAnsi="Times New Roman"/>
          <w:lang w:val="en-US"/>
        </w:rPr>
      </w:pPr>
    </w:p>
    <w:p w:rsidR="00D4578A" w:rsidRPr="008971C0" w:rsidRDefault="00D4578A" w:rsidP="00D4578A">
      <w:pPr>
        <w:spacing w:after="120"/>
        <w:jc w:val="both"/>
      </w:pPr>
      <w:r w:rsidRPr="008971C0">
        <w:rPr>
          <w:rFonts w:ascii="Times New Roman" w:eastAsia="Times New Roman" w:hAnsi="Times New Roman"/>
        </w:rPr>
        <w:t>La cadena combina cuatro bloques conceptuales (IA generativa/</w:t>
      </w:r>
      <w:proofErr w:type="spellStart"/>
      <w:r w:rsidRPr="008971C0">
        <w:rPr>
          <w:rFonts w:ascii="Times New Roman" w:eastAsia="Times New Roman" w:hAnsi="Times New Roman"/>
        </w:rPr>
        <w:t>agéntica</w:t>
      </w:r>
      <w:proofErr w:type="spellEnd"/>
      <w:r w:rsidRPr="008971C0">
        <w:rPr>
          <w:rFonts w:ascii="Times New Roman" w:eastAsia="Times New Roman" w:hAnsi="Times New Roman"/>
        </w:rPr>
        <w:t xml:space="preserve"> · arquitectura de referencia/empresarial · desarrollo de software · cumplimiento/gobernanza) unidos con AND; los sinónimos de cada bloque se unen con OR y se usan comodines para cubrir variantes morfológicas.</w:t>
      </w:r>
    </w:p>
    <w:p w:rsidR="00D4578A" w:rsidRPr="008971C0" w:rsidRDefault="00D4578A" w:rsidP="00D4578A">
      <w:pPr>
        <w:spacing w:after="120"/>
      </w:pPr>
    </w:p>
    <w:p w:rsidR="00D4578A" w:rsidRPr="008971C0" w:rsidRDefault="00D4578A" w:rsidP="00D4578A">
      <w:pPr>
        <w:spacing w:after="80"/>
        <w:rPr>
          <w:rFonts w:ascii="Times New Roman" w:eastAsia="Times New Roman" w:hAnsi="Times New Roman"/>
          <w:lang w:val="en-US"/>
        </w:rPr>
      </w:pPr>
      <w:r w:rsidRPr="008971C0">
        <w:rPr>
          <w:rFonts w:ascii="Times New Roman" w:eastAsia="Times New Roman" w:hAnsi="Times New Roman"/>
          <w:b/>
        </w:rPr>
        <w:t>Base de datos:</w:t>
      </w:r>
      <w:r w:rsidRPr="008971C0">
        <w:rPr>
          <w:rFonts w:ascii="Times New Roman" w:eastAsia="Times New Roman" w:hAnsi="Times New Roman"/>
        </w:rPr>
        <w:t xml:space="preserve"> Semantic Scholar. </w:t>
      </w:r>
      <w:r w:rsidRPr="008971C0">
        <w:rPr>
          <w:rFonts w:ascii="Times New Roman" w:eastAsia="Times New Roman" w:hAnsi="Times New Roman"/>
          <w:b/>
        </w:rPr>
        <w:t>Filtro temporal:</w:t>
      </w:r>
      <w:r w:rsidRPr="008971C0">
        <w:rPr>
          <w:rFonts w:ascii="Times New Roman" w:eastAsia="Times New Roman" w:hAnsi="Times New Roman"/>
        </w:rPr>
        <w:t xml:space="preserve"> año de publicación 2022–2026 (equivalente a PUBYEAR &gt; 2021 en Scopus). </w:t>
      </w:r>
      <w:proofErr w:type="spellStart"/>
      <w:r w:rsidRPr="008971C0">
        <w:rPr>
          <w:rFonts w:ascii="Times New Roman" w:eastAsia="Times New Roman" w:hAnsi="Times New Roman"/>
          <w:b/>
          <w:lang w:val="en-US"/>
        </w:rPr>
        <w:t>Resultado</w:t>
      </w:r>
      <w:proofErr w:type="spellEnd"/>
      <w:r w:rsidRPr="008971C0">
        <w:rPr>
          <w:rFonts w:ascii="Times New Roman" w:eastAsia="Times New Roman" w:hAnsi="Times New Roman"/>
          <w:b/>
          <w:lang w:val="en-US"/>
        </w:rPr>
        <w:t>:</w:t>
      </w:r>
      <w:r w:rsidRPr="008971C0">
        <w:rPr>
          <w:rFonts w:ascii="Times New Roman" w:eastAsia="Times New Roman" w:hAnsi="Times New Roman"/>
          <w:lang w:val="en-US"/>
        </w:rPr>
        <w:t xml:space="preserve"> 2 </w:t>
      </w:r>
      <w:proofErr w:type="spellStart"/>
      <w:r w:rsidRPr="008971C0">
        <w:rPr>
          <w:rFonts w:ascii="Times New Roman" w:eastAsia="Times New Roman" w:hAnsi="Times New Roman"/>
          <w:lang w:val="en-US"/>
        </w:rPr>
        <w:t>documentos</w:t>
      </w:r>
      <w:proofErr w:type="spellEnd"/>
      <w:r w:rsidRPr="008971C0">
        <w:rPr>
          <w:rFonts w:ascii="Times New Roman" w:eastAsia="Times New Roman" w:hAnsi="Times New Roman"/>
          <w:lang w:val="en-US"/>
        </w:rPr>
        <w:t xml:space="preserve">. </w:t>
      </w:r>
      <w:proofErr w:type="spellStart"/>
      <w:r w:rsidRPr="008971C0">
        <w:rPr>
          <w:rFonts w:ascii="Times New Roman" w:eastAsia="Times New Roman" w:hAnsi="Times New Roman"/>
          <w:b/>
          <w:lang w:val="en-US"/>
        </w:rPr>
        <w:t>Fecha</w:t>
      </w:r>
      <w:proofErr w:type="spellEnd"/>
      <w:r w:rsidRPr="008971C0">
        <w:rPr>
          <w:rFonts w:ascii="Times New Roman" w:eastAsia="Times New Roman" w:hAnsi="Times New Roman"/>
          <w:b/>
          <w:lang w:val="en-US"/>
        </w:rPr>
        <w:t xml:space="preserve"> de </w:t>
      </w:r>
      <w:proofErr w:type="spellStart"/>
      <w:r w:rsidRPr="008971C0">
        <w:rPr>
          <w:rFonts w:ascii="Times New Roman" w:eastAsia="Times New Roman" w:hAnsi="Times New Roman"/>
          <w:b/>
          <w:lang w:val="en-US"/>
        </w:rPr>
        <w:t>ejecución</w:t>
      </w:r>
      <w:proofErr w:type="spellEnd"/>
      <w:r w:rsidRPr="008971C0">
        <w:rPr>
          <w:rFonts w:ascii="Times New Roman" w:eastAsia="Times New Roman" w:hAnsi="Times New Roman"/>
          <w:b/>
          <w:lang w:val="en-US"/>
        </w:rPr>
        <w:t>:</w:t>
      </w:r>
      <w:r w:rsidRPr="008971C0">
        <w:rPr>
          <w:rFonts w:ascii="Times New Roman" w:eastAsia="Times New Roman" w:hAnsi="Times New Roman"/>
          <w:lang w:val="en-US"/>
        </w:rPr>
        <w:t xml:space="preserve"> </w:t>
      </w:r>
      <w:proofErr w:type="spellStart"/>
      <w:r w:rsidRPr="008971C0">
        <w:rPr>
          <w:rFonts w:ascii="Times New Roman" w:eastAsia="Times New Roman" w:hAnsi="Times New Roman"/>
          <w:lang w:val="en-US"/>
        </w:rPr>
        <w:t>octubre</w:t>
      </w:r>
      <w:proofErr w:type="spellEnd"/>
      <w:r w:rsidRPr="008971C0">
        <w:rPr>
          <w:rFonts w:ascii="Times New Roman" w:eastAsia="Times New Roman" w:hAnsi="Times New Roman"/>
          <w:lang w:val="en-US"/>
        </w:rPr>
        <w:t xml:space="preserve"> de 2026.</w:t>
      </w:r>
    </w:p>
    <w:p w:rsidR="00D4578A" w:rsidRPr="008971C0" w:rsidRDefault="00D4578A" w:rsidP="00D4578A">
      <w:pPr>
        <w:spacing w:after="120"/>
        <w:ind w:left="288"/>
        <w:rPr>
          <w:rFonts w:ascii="Consolas" w:eastAsia="Times New Roman" w:hAnsi="Consolas"/>
          <w:sz w:val="17"/>
          <w:lang w:val="en-US"/>
        </w:rPr>
      </w:pPr>
      <w:r w:rsidRPr="008971C0">
        <w:rPr>
          <w:rFonts w:ascii="Consolas" w:eastAsia="Times New Roman" w:hAnsi="Consolas"/>
          <w:sz w:val="17"/>
          <w:lang w:val="en-US"/>
        </w:rPr>
        <w:t xml:space="preserve">("generative AI" | </w:t>
      </w:r>
      <w:proofErr w:type="spellStart"/>
      <w:r w:rsidRPr="008971C0">
        <w:rPr>
          <w:rFonts w:ascii="Consolas" w:eastAsia="Times New Roman" w:hAnsi="Consolas"/>
          <w:sz w:val="17"/>
          <w:lang w:val="en-US"/>
        </w:rPr>
        <w:t>genAI</w:t>
      </w:r>
      <w:proofErr w:type="spellEnd"/>
      <w:r w:rsidRPr="008971C0">
        <w:rPr>
          <w:rFonts w:ascii="Consolas" w:eastAsia="Times New Roman" w:hAnsi="Consolas"/>
          <w:sz w:val="17"/>
          <w:lang w:val="en-US"/>
        </w:rPr>
        <w:t xml:space="preserve"> | "large language model" | "large language models" | LLM* | "agentic AI" | "AI agent" | "AI agents" | "LLM agent" | "LLM agents" | "multi-agent") + ("reference architecture" | "reference architectures" | "enterprise architecture" | "architectural framework" | "architectural frameworks" | TOGAF | ArchiMate) + ("software development" | "software engineering" | "code generation" | SDLC) + (</w:t>
      </w:r>
      <w:proofErr w:type="spellStart"/>
      <w:r w:rsidRPr="008971C0">
        <w:rPr>
          <w:rFonts w:ascii="Consolas" w:eastAsia="Times New Roman" w:hAnsi="Consolas"/>
          <w:sz w:val="17"/>
          <w:lang w:val="en-US"/>
        </w:rPr>
        <w:t>complian</w:t>
      </w:r>
      <w:proofErr w:type="spellEnd"/>
      <w:r w:rsidRPr="008971C0">
        <w:rPr>
          <w:rFonts w:ascii="Consolas" w:eastAsia="Times New Roman" w:hAnsi="Consolas"/>
          <w:sz w:val="17"/>
          <w:lang w:val="en-US"/>
        </w:rPr>
        <w:t xml:space="preserve">* | </w:t>
      </w:r>
      <w:proofErr w:type="spellStart"/>
      <w:r w:rsidRPr="008971C0">
        <w:rPr>
          <w:rFonts w:ascii="Consolas" w:eastAsia="Times New Roman" w:hAnsi="Consolas"/>
          <w:sz w:val="17"/>
          <w:lang w:val="en-US"/>
        </w:rPr>
        <w:t>regulat</w:t>
      </w:r>
      <w:proofErr w:type="spellEnd"/>
      <w:r w:rsidRPr="008971C0">
        <w:rPr>
          <w:rFonts w:ascii="Consolas" w:eastAsia="Times New Roman" w:hAnsi="Consolas"/>
          <w:sz w:val="17"/>
          <w:lang w:val="en-US"/>
        </w:rPr>
        <w:t xml:space="preserve">* | </w:t>
      </w:r>
      <w:proofErr w:type="spellStart"/>
      <w:r w:rsidRPr="008971C0">
        <w:rPr>
          <w:rFonts w:ascii="Consolas" w:eastAsia="Times New Roman" w:hAnsi="Consolas"/>
          <w:sz w:val="17"/>
          <w:lang w:val="en-US"/>
        </w:rPr>
        <w:t>verif</w:t>
      </w:r>
      <w:proofErr w:type="spellEnd"/>
      <w:r w:rsidRPr="008971C0">
        <w:rPr>
          <w:rFonts w:ascii="Consolas" w:eastAsia="Times New Roman" w:hAnsi="Consolas"/>
          <w:sz w:val="17"/>
          <w:lang w:val="en-US"/>
        </w:rPr>
        <w:t xml:space="preserve">* | </w:t>
      </w:r>
      <w:proofErr w:type="spellStart"/>
      <w:r w:rsidRPr="008971C0">
        <w:rPr>
          <w:rFonts w:ascii="Consolas" w:eastAsia="Times New Roman" w:hAnsi="Consolas"/>
          <w:sz w:val="17"/>
          <w:lang w:val="en-US"/>
        </w:rPr>
        <w:t>validat</w:t>
      </w:r>
      <w:proofErr w:type="spellEnd"/>
      <w:r w:rsidRPr="008971C0">
        <w:rPr>
          <w:rFonts w:ascii="Consolas" w:eastAsia="Times New Roman" w:hAnsi="Consolas"/>
          <w:sz w:val="17"/>
          <w:lang w:val="en-US"/>
        </w:rPr>
        <w:t>* | governance)</w:t>
      </w:r>
    </w:p>
    <w:p w:rsidR="00D4578A" w:rsidRPr="008971C0" w:rsidRDefault="00D4578A" w:rsidP="00D4578A">
      <w:pPr>
        <w:spacing w:after="120"/>
        <w:rPr>
          <w:lang w:val="en-US"/>
        </w:rPr>
      </w:pPr>
    </w:p>
    <w:p w:rsidR="00D4578A" w:rsidRPr="008971C0" w:rsidRDefault="00672AE5" w:rsidP="00CA7381">
      <w:pPr>
        <w:spacing w:after="120"/>
        <w:jc w:val="both"/>
        <w:rPr>
          <w:rFonts w:ascii="Times New Roman" w:eastAsia="Times New Roman" w:hAnsi="Times New Roman"/>
          <w:b/>
        </w:rPr>
      </w:pPr>
      <w:r w:rsidRPr="008971C0">
        <w:rPr>
          <w:rFonts w:ascii="Times New Roman" w:eastAsia="Times New Roman" w:hAnsi="Times New Roman"/>
          <w:b/>
        </w:rPr>
        <w:t>Base de datos en Perú</w:t>
      </w:r>
    </w:p>
    <w:p w:rsidR="00672AE5" w:rsidRPr="008971C0" w:rsidRDefault="00672AE5" w:rsidP="00CA7381">
      <w:pPr>
        <w:spacing w:after="120"/>
        <w:jc w:val="both"/>
        <w:rPr>
          <w:rFonts w:ascii="Times New Roman" w:eastAsia="Times New Roman" w:hAnsi="Times New Roman"/>
        </w:rPr>
      </w:pPr>
    </w:p>
    <w:p w:rsidR="00672AE5" w:rsidRPr="008971C0" w:rsidRDefault="00672AE5" w:rsidP="00CA7381">
      <w:pPr>
        <w:spacing w:after="120"/>
        <w:jc w:val="both"/>
        <w:rPr>
          <w:rFonts w:ascii="Times New Roman" w:eastAsia="Times New Roman" w:hAnsi="Times New Roman"/>
          <w:b/>
        </w:rPr>
      </w:pPr>
      <w:r w:rsidRPr="008971C0">
        <w:rPr>
          <w:rFonts w:ascii="Times New Roman" w:eastAsia="Times New Roman" w:hAnsi="Times New Roman"/>
          <w:b/>
        </w:rPr>
        <w:t>ALICIA — CONCYTEC</w:t>
      </w:r>
    </w:p>
    <w:p w:rsidR="00672AE5" w:rsidRPr="008971C0" w:rsidRDefault="000D34AC" w:rsidP="00CA7381">
      <w:pPr>
        <w:spacing w:after="120"/>
        <w:jc w:val="both"/>
        <w:rPr>
          <w:rFonts w:ascii="Times New Roman" w:eastAsia="Times New Roman" w:hAnsi="Times New Roman"/>
        </w:rPr>
      </w:pPr>
      <w:r w:rsidRPr="008971C0">
        <w:rPr>
          <w:rFonts w:ascii="Times New Roman" w:eastAsia="Times New Roman" w:hAnsi="Times New Roman"/>
        </w:rPr>
        <w:t xml:space="preserve">Filtro: </w:t>
      </w:r>
      <w:r w:rsidR="00B9262B" w:rsidRPr="008971C0">
        <w:rPr>
          <w:rFonts w:ascii="Times New Roman" w:eastAsia="Times New Roman" w:hAnsi="Times New Roman"/>
        </w:rPr>
        <w:t>(</w:t>
      </w:r>
      <w:r w:rsidRPr="008971C0">
        <w:rPr>
          <w:rFonts w:ascii="Times New Roman" w:eastAsia="Times New Roman" w:hAnsi="Times New Roman"/>
        </w:rPr>
        <w:t>arquitectura de referencia and TOGAF and inteligencia artificial generativa</w:t>
      </w:r>
      <w:r w:rsidR="00B9262B" w:rsidRPr="008971C0">
        <w:rPr>
          <w:rFonts w:ascii="Times New Roman" w:eastAsia="Times New Roman" w:hAnsi="Times New Roman"/>
        </w:rPr>
        <w:t>)</w:t>
      </w:r>
    </w:p>
    <w:p w:rsidR="000D34AC" w:rsidRPr="008971C0" w:rsidRDefault="006F209D" w:rsidP="00CA7381">
      <w:pPr>
        <w:spacing w:after="120"/>
        <w:jc w:val="both"/>
        <w:rPr>
          <w:rFonts w:ascii="Times New Roman" w:eastAsia="Times New Roman" w:hAnsi="Times New Roman"/>
        </w:rPr>
      </w:pPr>
      <w:r w:rsidRPr="008971C0">
        <w:rPr>
          <w:rFonts w:ascii="Times New Roman" w:eastAsia="Times New Roman" w:hAnsi="Times New Roman"/>
        </w:rPr>
        <w:t>Resultado cero (0)</w:t>
      </w:r>
    </w:p>
    <w:p w:rsidR="000D34AC" w:rsidRPr="008971C0" w:rsidRDefault="000D34AC" w:rsidP="00CA7381">
      <w:pPr>
        <w:spacing w:after="120"/>
        <w:jc w:val="both"/>
        <w:rPr>
          <w:rFonts w:ascii="Times New Roman" w:eastAsia="Times New Roman" w:hAnsi="Times New Roman"/>
        </w:rPr>
      </w:pPr>
    </w:p>
    <w:p w:rsidR="000D34AC" w:rsidRPr="008971C0" w:rsidRDefault="000D34AC" w:rsidP="00CA7381">
      <w:pPr>
        <w:spacing w:after="120"/>
        <w:jc w:val="both"/>
        <w:rPr>
          <w:rFonts w:ascii="Times New Roman" w:eastAsia="Times New Roman" w:hAnsi="Times New Roman"/>
        </w:rPr>
      </w:pPr>
    </w:p>
    <w:p w:rsidR="00672AE5" w:rsidRPr="008971C0" w:rsidRDefault="00672AE5" w:rsidP="00CA7381">
      <w:pPr>
        <w:spacing w:after="120"/>
        <w:jc w:val="both"/>
        <w:rPr>
          <w:rFonts w:ascii="Times New Roman" w:eastAsia="Times New Roman" w:hAnsi="Times New Roman"/>
          <w:b/>
        </w:rPr>
      </w:pPr>
      <w:r w:rsidRPr="008971C0">
        <w:rPr>
          <w:rFonts w:ascii="Times New Roman" w:eastAsia="Times New Roman" w:hAnsi="Times New Roman"/>
          <w:b/>
        </w:rPr>
        <w:t>RENATI — SUNEDU</w:t>
      </w:r>
    </w:p>
    <w:p w:rsidR="00672AE5" w:rsidRPr="008971C0" w:rsidRDefault="00DA2D71" w:rsidP="00CA7381">
      <w:pPr>
        <w:spacing w:after="120"/>
        <w:jc w:val="both"/>
        <w:rPr>
          <w:rFonts w:ascii="Times New Roman" w:eastAsia="Times New Roman" w:hAnsi="Times New Roman"/>
        </w:rPr>
      </w:pPr>
      <w:r w:rsidRPr="008971C0">
        <w:rPr>
          <w:rFonts w:ascii="Times New Roman" w:eastAsia="Times New Roman" w:hAnsi="Times New Roman"/>
        </w:rPr>
        <w:t xml:space="preserve">Filtro: </w:t>
      </w:r>
      <w:r w:rsidR="00B9262B" w:rsidRPr="008971C0">
        <w:rPr>
          <w:rFonts w:ascii="Times New Roman" w:eastAsia="Times New Roman" w:hAnsi="Times New Roman"/>
        </w:rPr>
        <w:t>(</w:t>
      </w:r>
      <w:r w:rsidR="006F209D" w:rsidRPr="008971C0">
        <w:rPr>
          <w:rFonts w:ascii="Times New Roman" w:eastAsia="Times New Roman" w:hAnsi="Times New Roman"/>
        </w:rPr>
        <w:t>arquitectura de referencia and TOGAF</w:t>
      </w:r>
      <w:r w:rsidR="00B9262B" w:rsidRPr="008971C0">
        <w:rPr>
          <w:rFonts w:ascii="Times New Roman" w:eastAsia="Times New Roman" w:hAnsi="Times New Roman"/>
        </w:rPr>
        <w:t>)</w:t>
      </w:r>
    </w:p>
    <w:p w:rsidR="006F209D" w:rsidRPr="008971C0" w:rsidRDefault="006F209D" w:rsidP="00CA7381">
      <w:pPr>
        <w:spacing w:after="120"/>
        <w:jc w:val="both"/>
        <w:rPr>
          <w:rFonts w:ascii="Times New Roman" w:eastAsia="Times New Roman" w:hAnsi="Times New Roman"/>
        </w:rPr>
      </w:pPr>
      <w:r w:rsidRPr="008971C0">
        <w:rPr>
          <w:rFonts w:ascii="Times New Roman" w:eastAsia="Times New Roman" w:hAnsi="Times New Roman"/>
        </w:rPr>
        <w:t>Resultado cero (0)</w:t>
      </w:r>
    </w:p>
    <w:p w:rsidR="00672AE5" w:rsidRPr="008971C0" w:rsidRDefault="00672AE5" w:rsidP="00CA7381">
      <w:pPr>
        <w:spacing w:after="120"/>
      </w:pPr>
    </w:p>
    <w:p w:rsidR="00286C12" w:rsidRPr="008971C0" w:rsidRDefault="00F27056">
      <w:pPr>
        <w:keepNext/>
        <w:spacing w:before="160" w:after="80"/>
      </w:pPr>
      <w:r w:rsidRPr="008971C0">
        <w:rPr>
          <w:rFonts w:ascii="Times New Roman" w:eastAsia="Times New Roman" w:hAnsi="Times New Roman"/>
          <w:b/>
          <w:sz w:val="24"/>
        </w:rPr>
        <w:t>Criterios de elegibilidad y procedimiento de selección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4896"/>
        <w:gridCol w:w="4896"/>
      </w:tblGrid>
      <w:tr w:rsidR="00286C12" w:rsidRPr="008971C0">
        <w:trPr>
          <w:tblHeader/>
          <w:jc w:val="center"/>
        </w:trPr>
        <w:tc>
          <w:tcPr>
            <w:tcW w:w="4896" w:type="dxa"/>
            <w:shd w:val="clear" w:color="auto" w:fill="1F3864"/>
          </w:tcPr>
          <w:p w:rsidR="00286C12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8"/>
              </w:rPr>
              <w:t>Inclusión</w:t>
            </w:r>
          </w:p>
        </w:tc>
        <w:tc>
          <w:tcPr>
            <w:tcW w:w="4896" w:type="dxa"/>
            <w:shd w:val="clear" w:color="auto" w:fill="1F3864"/>
          </w:tcPr>
          <w:p w:rsidR="00286C12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8"/>
              </w:rPr>
              <w:t>Exclusión</w:t>
            </w:r>
          </w:p>
        </w:tc>
      </w:tr>
      <w:tr w:rsidR="00286C12" w:rsidRPr="008971C0">
        <w:trPr>
          <w:cantSplit/>
          <w:jc w:val="center"/>
        </w:trPr>
        <w:tc>
          <w:tcPr>
            <w:tcW w:w="4896" w:type="dxa"/>
          </w:tcPr>
          <w:p w:rsidR="00286C12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8"/>
              </w:rPr>
              <w:t>CI1. Aborda IA generativa, LLM o agentes de IA.</w:t>
            </w:r>
          </w:p>
          <w:p w:rsidR="00286C12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8"/>
              </w:rPr>
              <w:t>CI2. Propone, evalúa o discute una arquitectura de referencia, arquitectura empresarial, framework o patrones arquitectónicos.</w:t>
            </w:r>
          </w:p>
          <w:p w:rsidR="00286C12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8"/>
              </w:rPr>
              <w:t>CI3. Se ubica en ingeniería de software / SDLC o en la integración empresarial de estos sistemas.</w:t>
            </w:r>
          </w:p>
          <w:p w:rsidR="00286C12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8"/>
              </w:rPr>
              <w:t>CI4. Trata cumplimiento, verificación, seguridad o gobernanza.</w:t>
            </w:r>
          </w:p>
          <w:p w:rsidR="00286C12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8"/>
              </w:rPr>
              <w:t>CI5. Publicado entre 2022 y 2026, revisado por pares (artículo o conferencia).</w:t>
            </w:r>
          </w:p>
        </w:tc>
        <w:tc>
          <w:tcPr>
            <w:tcW w:w="4896" w:type="dxa"/>
          </w:tcPr>
          <w:p w:rsidR="00286C12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8"/>
              </w:rPr>
              <w:t>CE1. Duplicados.</w:t>
            </w:r>
          </w:p>
          <w:p w:rsidR="00286C12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8"/>
              </w:rPr>
              <w:t>CE2. Registros sin texto accesible o sin resumen.</w:t>
            </w:r>
          </w:p>
          <w:p w:rsidR="00286C12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8"/>
              </w:rPr>
              <w:t>CE3. Trabajos que usan la IA solo como herramienta de análisis, sin componente arquitectónico ni de gobernanza.</w:t>
            </w:r>
          </w:p>
          <w:p w:rsidR="00286C12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8"/>
              </w:rPr>
              <w:t>CE4. Idioma distinto del inglés o español.</w:t>
            </w:r>
          </w:p>
          <w:p w:rsidR="00286C12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8"/>
              </w:rPr>
              <w:t>CE5. Literatura gris, tesis o capítulos sin revisión por pares.</w:t>
            </w:r>
          </w:p>
        </w:tc>
      </w:tr>
    </w:tbl>
    <w:p w:rsidR="00286C12" w:rsidRPr="008971C0" w:rsidRDefault="00286C12">
      <w:pPr>
        <w:spacing w:after="40"/>
      </w:pPr>
    </w:p>
    <w:p w:rsidR="008C478E" w:rsidRPr="008971C0" w:rsidRDefault="00F27056">
      <w:pPr>
        <w:spacing w:after="120"/>
        <w:jc w:val="both"/>
        <w:rPr>
          <w:rFonts w:ascii="Times New Roman" w:eastAsia="Times New Roman" w:hAnsi="Times New Roman"/>
        </w:rPr>
      </w:pPr>
      <w:r w:rsidRPr="008971C0">
        <w:rPr>
          <w:rFonts w:ascii="Times New Roman" w:eastAsia="Times New Roman" w:hAnsi="Times New Roman"/>
          <w:b/>
        </w:rPr>
        <w:t>Procedimiento.</w:t>
      </w:r>
    </w:p>
    <w:p w:rsidR="008C478E" w:rsidRPr="008971C0" w:rsidRDefault="008C478E">
      <w:pPr>
        <w:spacing w:after="120"/>
        <w:jc w:val="both"/>
        <w:rPr>
          <w:rFonts w:ascii="Times New Roman" w:eastAsia="Times New Roman" w:hAnsi="Times New Roman"/>
        </w:rPr>
      </w:pPr>
    </w:p>
    <w:p w:rsidR="00C933E0" w:rsidRPr="008971C0" w:rsidRDefault="00F27056" w:rsidP="00C933E0">
      <w:pPr>
        <w:pStyle w:val="Prrafodelista"/>
        <w:numPr>
          <w:ilvl w:val="0"/>
          <w:numId w:val="16"/>
        </w:numPr>
        <w:spacing w:after="120"/>
        <w:jc w:val="both"/>
        <w:rPr>
          <w:rFonts w:ascii="Times New Roman" w:eastAsia="Times New Roman" w:hAnsi="Times New Roman"/>
        </w:rPr>
      </w:pPr>
      <w:proofErr w:type="spellStart"/>
      <w:r w:rsidRPr="008971C0">
        <w:rPr>
          <w:rFonts w:ascii="Times New Roman" w:eastAsia="Times New Roman" w:hAnsi="Times New Roman"/>
        </w:rPr>
        <w:t>Scopus</w:t>
      </w:r>
      <w:proofErr w:type="spellEnd"/>
      <w:r w:rsidRPr="008971C0">
        <w:rPr>
          <w:rFonts w:ascii="Times New Roman" w:eastAsia="Times New Roman" w:hAnsi="Times New Roman"/>
        </w:rPr>
        <w:t xml:space="preserve"> devolvió </w:t>
      </w:r>
      <w:r w:rsidR="002D55DC" w:rsidRPr="008971C0">
        <w:rPr>
          <w:rFonts w:ascii="Times New Roman" w:eastAsia="Times New Roman" w:hAnsi="Times New Roman"/>
        </w:rPr>
        <w:t>21</w:t>
      </w:r>
      <w:r w:rsidRPr="008971C0">
        <w:rPr>
          <w:rFonts w:ascii="Times New Roman" w:eastAsia="Times New Roman" w:hAnsi="Times New Roman"/>
        </w:rPr>
        <w:t xml:space="preserve"> documentos</w:t>
      </w:r>
      <w:r w:rsidR="00C933E0" w:rsidRPr="008971C0">
        <w:rPr>
          <w:rFonts w:ascii="Times New Roman" w:eastAsia="Times New Roman" w:hAnsi="Times New Roman"/>
        </w:rPr>
        <w:t>.</w:t>
      </w:r>
    </w:p>
    <w:p w:rsidR="00F27056" w:rsidRPr="008971C0" w:rsidRDefault="008C478E" w:rsidP="00C933E0">
      <w:pPr>
        <w:pStyle w:val="Prrafodelista"/>
        <w:numPr>
          <w:ilvl w:val="0"/>
          <w:numId w:val="16"/>
        </w:numPr>
        <w:spacing w:after="120"/>
        <w:jc w:val="both"/>
        <w:rPr>
          <w:rFonts w:ascii="Times New Roman" w:eastAsia="Times New Roman" w:hAnsi="Times New Roman"/>
        </w:rPr>
      </w:pPr>
      <w:proofErr w:type="spellStart"/>
      <w:r w:rsidRPr="008971C0">
        <w:rPr>
          <w:rFonts w:ascii="Times New Roman" w:eastAsia="Times New Roman" w:hAnsi="Times New Roman"/>
        </w:rPr>
        <w:t>Semantic</w:t>
      </w:r>
      <w:proofErr w:type="spellEnd"/>
      <w:r w:rsidRPr="008971C0">
        <w:rPr>
          <w:rFonts w:ascii="Times New Roman" w:eastAsia="Times New Roman" w:hAnsi="Times New Roman"/>
        </w:rPr>
        <w:t xml:space="preserve"> </w:t>
      </w:r>
      <w:proofErr w:type="spellStart"/>
      <w:r w:rsidR="00592415" w:rsidRPr="008971C0">
        <w:rPr>
          <w:rFonts w:ascii="Times New Roman" w:eastAsia="Times New Roman" w:hAnsi="Times New Roman"/>
        </w:rPr>
        <w:t>S</w:t>
      </w:r>
      <w:r w:rsidRPr="008971C0">
        <w:rPr>
          <w:rFonts w:ascii="Times New Roman" w:eastAsia="Times New Roman" w:hAnsi="Times New Roman"/>
        </w:rPr>
        <w:t>cholar</w:t>
      </w:r>
      <w:proofErr w:type="spellEnd"/>
      <w:r w:rsidRPr="008971C0">
        <w:rPr>
          <w:rFonts w:ascii="Times New Roman" w:eastAsia="Times New Roman" w:hAnsi="Times New Roman"/>
        </w:rPr>
        <w:t xml:space="preserve"> devolvió 2 documentos</w:t>
      </w:r>
    </w:p>
    <w:p w:rsidR="00C933E0" w:rsidRPr="008971C0" w:rsidRDefault="00C933E0" w:rsidP="00C933E0">
      <w:pPr>
        <w:pStyle w:val="Prrafodelista"/>
        <w:numPr>
          <w:ilvl w:val="0"/>
          <w:numId w:val="16"/>
        </w:numPr>
        <w:spacing w:after="120"/>
      </w:pPr>
      <w:r w:rsidRPr="008971C0">
        <w:rPr>
          <w:rFonts w:ascii="Times New Roman" w:eastAsia="Times New Roman" w:hAnsi="Times New Roman"/>
        </w:rPr>
        <w:t>ALICIA devolvió 0 (cero) documentos.</w:t>
      </w:r>
    </w:p>
    <w:p w:rsidR="00C933E0" w:rsidRPr="008971C0" w:rsidRDefault="00C933E0" w:rsidP="00C933E0">
      <w:pPr>
        <w:pStyle w:val="Prrafodelista"/>
        <w:numPr>
          <w:ilvl w:val="0"/>
          <w:numId w:val="16"/>
        </w:numPr>
        <w:spacing w:after="120"/>
      </w:pPr>
      <w:r w:rsidRPr="008971C0">
        <w:rPr>
          <w:rFonts w:ascii="Times New Roman" w:eastAsia="Times New Roman" w:hAnsi="Times New Roman"/>
        </w:rPr>
        <w:t>RENATI — SUNEDU devolvió 0 (cero) documentos.</w:t>
      </w:r>
    </w:p>
    <w:p w:rsidR="00C933E0" w:rsidRPr="008971C0" w:rsidRDefault="00C933E0">
      <w:pPr>
        <w:spacing w:after="120"/>
        <w:jc w:val="both"/>
        <w:rPr>
          <w:rFonts w:ascii="Times New Roman" w:eastAsia="Times New Roman" w:hAnsi="Times New Roman"/>
        </w:rPr>
      </w:pPr>
    </w:p>
    <w:p w:rsidR="00C933E0" w:rsidRPr="008971C0" w:rsidRDefault="00E76105" w:rsidP="00E76105">
      <w:pPr>
        <w:spacing w:after="120"/>
        <w:jc w:val="both"/>
        <w:rPr>
          <w:rFonts w:ascii="Times New Roman" w:eastAsia="Times New Roman" w:hAnsi="Times New Roman"/>
        </w:rPr>
      </w:pPr>
      <w:r w:rsidRPr="008971C0">
        <w:rPr>
          <w:rFonts w:ascii="Times New Roman" w:eastAsia="Times New Roman" w:hAnsi="Times New Roman"/>
        </w:rPr>
        <w:t>Los 23 registros se cribaron frente a CI1–CI5 y CE1–CE5 usando título y metadatos. Resultaron 10 estudios incluidos (cumplen el requisito del entregable de analizar 10 papers), 4 registros en reserva por CI3/CI4 no evidentes (pendientes de verificar el resumen) y 9 excluidos. El detalle por registro figura en la Tabla 1 y los totales en el diagrama PRISMA. Los 10 estudios incluidos se leyeron después con mayor detalle: en texto completo (#1, #2, #3 y #8 de la Tabla 2) o a partir del resumen publicado por el editor (#4, #5, #6, #7, #9 y #10).</w:t>
      </w:r>
    </w:p>
    <w:p w:rsidR="00F27056" w:rsidRPr="008971C0" w:rsidRDefault="00F27056">
      <w:pPr>
        <w:spacing w:after="120"/>
        <w:jc w:val="both"/>
      </w:pPr>
    </w:p>
    <w:p w:rsidR="005532DE" w:rsidRPr="008971C0" w:rsidRDefault="00115B6C">
      <w:pPr>
        <w:keepNext/>
        <w:spacing w:before="160" w:after="80"/>
      </w:pPr>
      <w:r w:rsidRPr="008971C0">
        <w:rPr>
          <w:rFonts w:ascii="Times New Roman" w:eastAsia="Times New Roman" w:hAnsi="Times New Roman"/>
          <w:b/>
          <w:sz w:val="24"/>
        </w:rPr>
        <w:t>Resultados de la búsqueda (n = 23)</w:t>
      </w:r>
    </w:p>
    <w:p w:rsidR="005532DE" w:rsidRPr="008971C0" w:rsidRDefault="00115B6C">
      <w:pPr>
        <w:keepNext/>
        <w:spacing w:after="120"/>
        <w:jc w:val="both"/>
      </w:pPr>
      <w:r w:rsidRPr="008971C0">
        <w:rPr>
          <w:rFonts w:ascii="Times New Roman" w:eastAsia="Times New Roman" w:hAnsi="Times New Roman"/>
        </w:rPr>
        <w:t>La Tabla 1 consolida los 23 registros identificados: 21 de Scopus (en el orden por defecto del listado) y 2 de Semantic Scholar. ALICIA–CONCYTEC y RENATI–SUNEDU devolvieron 0 registros. Cada registro se cribó frente a los criterios CI1–CI5 y CE1–CE5 usando título y metadatos, porque la exportación no incluye resúmenes. Verde: seleccionado; amarillo: cumple lo evidenciable pero queda en reserva; sin color: excluido.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400"/>
        <w:gridCol w:w="4000"/>
        <w:gridCol w:w="850"/>
        <w:gridCol w:w="1150"/>
        <w:gridCol w:w="430"/>
        <w:gridCol w:w="2530"/>
      </w:tblGrid>
      <w:tr w:rsidR="005532DE" w:rsidRPr="008971C0">
        <w:trPr>
          <w:cantSplit/>
          <w:tblHeader/>
          <w:jc w:val="center"/>
        </w:trPr>
        <w:tc>
          <w:tcPr>
            <w:tcW w:w="400" w:type="dxa"/>
            <w:shd w:val="clear" w:color="auto" w:fill="1F3864"/>
            <w:vAlign w:val="center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7"/>
              </w:rPr>
              <w:t>#</w:t>
            </w:r>
          </w:p>
        </w:tc>
        <w:tc>
          <w:tcPr>
            <w:tcW w:w="4000" w:type="dxa"/>
            <w:shd w:val="clear" w:color="auto" w:fill="1F3864"/>
            <w:vAlign w:val="center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7"/>
              </w:rPr>
              <w:t>Referencia (autores, año, título, fuente)</w:t>
            </w:r>
          </w:p>
        </w:tc>
        <w:tc>
          <w:tcPr>
            <w:tcW w:w="850" w:type="dxa"/>
            <w:shd w:val="clear" w:color="auto" w:fill="1F3864"/>
            <w:vAlign w:val="center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7"/>
              </w:rPr>
              <w:t>Base</w:t>
            </w:r>
          </w:p>
        </w:tc>
        <w:tc>
          <w:tcPr>
            <w:tcW w:w="1150" w:type="dxa"/>
            <w:shd w:val="clear" w:color="auto" w:fill="1F3864"/>
            <w:vAlign w:val="center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7"/>
              </w:rPr>
              <w:t>Tipo</w:t>
            </w:r>
          </w:p>
        </w:tc>
        <w:tc>
          <w:tcPr>
            <w:tcW w:w="430" w:type="dxa"/>
            <w:shd w:val="clear" w:color="auto" w:fill="1F3864"/>
            <w:vAlign w:val="center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7"/>
              </w:rPr>
              <w:t>Cit.</w:t>
            </w:r>
          </w:p>
        </w:tc>
        <w:tc>
          <w:tcPr>
            <w:tcW w:w="2530" w:type="dxa"/>
            <w:shd w:val="clear" w:color="auto" w:fill="1F3864"/>
            <w:vAlign w:val="center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7"/>
              </w:rPr>
              <w:t>Decisión de cribado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1</w:t>
            </w:r>
          </w:p>
        </w:tc>
        <w:tc>
          <w:tcPr>
            <w:tcW w:w="4000" w:type="dx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Jeong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, Cho &amp; Woo (2027</w:t>
            </w:r>
            <w:r w:rsidR="0041725F" w:rsidRPr="008971C0">
              <w:rPr>
                <w:rFonts w:ascii="Times New Roman" w:eastAsia="Times New Roman" w:hAnsi="Times New Roman"/>
                <w:sz w:val="17"/>
                <w:lang w:val="en-US"/>
              </w:rPr>
              <w:t>*</w:t>
            </w:r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). Architecting Reliable LLM-Integrated Simulation: From Code Generation to Tool-Augmented Interaction in Production Planning. </w:t>
            </w:r>
            <w:r w:rsidRPr="008971C0">
              <w:rPr>
                <w:rFonts w:ascii="Times New Roman" w:eastAsia="Times New Roman" w:hAnsi="Times New Roman"/>
                <w:sz w:val="17"/>
              </w:rPr>
              <w:t xml:space="preserve">IFIP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Advances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in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Information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and Communication Technology, 811.</w:t>
            </w:r>
          </w:p>
        </w:tc>
        <w:tc>
          <w:tcPr>
            <w:tcW w:w="85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</w:p>
        </w:tc>
        <w:tc>
          <w:tcPr>
            <w:tcW w:w="115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Conferencia</w:t>
            </w:r>
          </w:p>
        </w:tc>
        <w:tc>
          <w:tcPr>
            <w:tcW w:w="43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0</w:t>
            </w:r>
          </w:p>
        </w:tc>
        <w:tc>
          <w:tcPr>
            <w:tcW w:w="253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ExcluidoCI4 no evidente.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2</w:t>
            </w:r>
          </w:p>
        </w:tc>
        <w:tc>
          <w:tcPr>
            <w:tcW w:w="400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[Sin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autores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] (2027</w:t>
            </w:r>
            <w:r w:rsidR="008971C0">
              <w:rPr>
                <w:rFonts w:ascii="Times New Roman" w:eastAsia="Times New Roman" w:hAnsi="Times New Roman"/>
                <w:sz w:val="17"/>
                <w:lang w:val="en-US"/>
              </w:rPr>
              <w:t>*</w:t>
            </w:r>
            <w:bookmarkStart w:id="0" w:name="_GoBack"/>
            <w:bookmarkEnd w:id="0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). 25th International Conference on Perspectives in Business Informatics Research, BIR 2026.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Lecture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Notes in Business Information Processing, 601.</w:t>
            </w:r>
          </w:p>
        </w:tc>
        <w:tc>
          <w:tcPr>
            <w:tcW w:w="85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</w:p>
        </w:tc>
        <w:tc>
          <w:tcPr>
            <w:tcW w:w="115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Reseña de conferencia</w:t>
            </w:r>
          </w:p>
        </w:tc>
        <w:tc>
          <w:tcPr>
            <w:tcW w:w="43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0</w:t>
            </w:r>
          </w:p>
        </w:tc>
        <w:tc>
          <w:tcPr>
            <w:tcW w:w="253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Excluido: CE2 (actas sin autores ni resumen de estudio).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lastRenderedPageBreak/>
              <w:t>3</w:t>
            </w:r>
          </w:p>
        </w:tc>
        <w:tc>
          <w:tcPr>
            <w:tcW w:w="4000" w:type="dxa"/>
            <w:shd w:val="clear" w:color="auto" w:fill="E2EFDA"/>
          </w:tcPr>
          <w:p w:rsidR="005532DE" w:rsidRPr="008971C0" w:rsidRDefault="00115B6C">
            <w:pPr>
              <w:spacing w:after="40"/>
              <w:rPr>
                <w:lang w:val="en-US"/>
              </w:rPr>
            </w:pPr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Do Val Lopes, Pitta, Belem, Alves &amp; Martins (2026). Engineering AI Agents for Clinical Workflows: A Case Study in Architecture,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MLOps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, and Governance. Proc. IEEE/ACM 5th Int. Conf. on AI Engineering (CAIN 2026).</w:t>
            </w:r>
          </w:p>
        </w:tc>
        <w:tc>
          <w:tcPr>
            <w:tcW w:w="8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  <w:proofErr w:type="spellEnd"/>
          </w:p>
        </w:tc>
        <w:tc>
          <w:tcPr>
            <w:tcW w:w="11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Conferencia</w:t>
            </w:r>
          </w:p>
        </w:tc>
        <w:tc>
          <w:tcPr>
            <w:tcW w:w="43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0</w:t>
            </w:r>
          </w:p>
        </w:tc>
        <w:tc>
          <w:tcPr>
            <w:tcW w:w="253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Seleccionado (Tabla 2, #1).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  <w:shd w:val="clear" w:color="auto" w:fill="FFF2CC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4</w:t>
            </w:r>
          </w:p>
        </w:tc>
        <w:tc>
          <w:tcPr>
            <w:tcW w:w="4000" w:type="dxa"/>
            <w:shd w:val="clear" w:color="auto" w:fill="FFF2CC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 xml:space="preserve">Bandeira, De Oliveira, Maia, Aderaldo &amp; Mendonça (2026). </w:t>
            </w:r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LLM-Native Applications: Toward a New Paradigm in Software Engineering. </w:t>
            </w:r>
            <w:r w:rsidRPr="008971C0">
              <w:rPr>
                <w:rFonts w:ascii="Times New Roman" w:eastAsia="Times New Roman" w:hAnsi="Times New Roman"/>
                <w:sz w:val="17"/>
              </w:rPr>
              <w:t xml:space="preserve">ICSE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Companion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2026.</w:t>
            </w:r>
          </w:p>
        </w:tc>
        <w:tc>
          <w:tcPr>
            <w:tcW w:w="850" w:type="dxa"/>
            <w:shd w:val="clear" w:color="auto" w:fill="FFF2CC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</w:p>
        </w:tc>
        <w:tc>
          <w:tcPr>
            <w:tcW w:w="1150" w:type="dxa"/>
            <w:shd w:val="clear" w:color="auto" w:fill="FFF2CC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Conferencia</w:t>
            </w:r>
          </w:p>
        </w:tc>
        <w:tc>
          <w:tcPr>
            <w:tcW w:w="430" w:type="dxa"/>
            <w:shd w:val="clear" w:color="auto" w:fill="FFF2CC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0</w:t>
            </w:r>
          </w:p>
        </w:tc>
        <w:tc>
          <w:tcPr>
            <w:tcW w:w="2530" w:type="dxa"/>
            <w:shd w:val="clear" w:color="auto" w:fill="FFF2CC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No seleccionado: CI4 no evidente en título/metadatos (reserva; verificar resumen).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5</w:t>
            </w:r>
          </w:p>
        </w:tc>
        <w:tc>
          <w:tcPr>
            <w:tcW w:w="400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Alenezi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,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Akour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&amp; Al-Omari (2026). Agentic Artificial Intelligence in Software Engineering: Integration Points, Architectural Frameworks, Empirical Evaluation, and Governance. </w:t>
            </w:r>
            <w:r w:rsidRPr="008971C0">
              <w:rPr>
                <w:rFonts w:ascii="Times New Roman" w:eastAsia="Times New Roman" w:hAnsi="Times New Roman"/>
                <w:sz w:val="17"/>
              </w:rPr>
              <w:t xml:space="preserve">International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Journal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of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Technology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>, 17(4).</w:t>
            </w:r>
          </w:p>
        </w:tc>
        <w:tc>
          <w:tcPr>
            <w:tcW w:w="8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</w:p>
        </w:tc>
        <w:tc>
          <w:tcPr>
            <w:tcW w:w="11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Artículo</w:t>
            </w:r>
          </w:p>
        </w:tc>
        <w:tc>
          <w:tcPr>
            <w:tcW w:w="43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1</w:t>
            </w:r>
          </w:p>
        </w:tc>
        <w:tc>
          <w:tcPr>
            <w:tcW w:w="253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Seleccionado (Tabla 2, #2).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  <w:shd w:val="clear" w:color="auto" w:fill="FFF2CC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6</w:t>
            </w:r>
          </w:p>
        </w:tc>
        <w:tc>
          <w:tcPr>
            <w:tcW w:w="4000" w:type="dxa"/>
            <w:shd w:val="clear" w:color="auto" w:fill="FFF2CC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Elsisi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, Santos &amp; Melo (2026). Lifecycle-Aware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GenAI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Assistance with MCP via Context Refinement Loops: A Reference Architecture. </w:t>
            </w:r>
            <w:r w:rsidRPr="008971C0">
              <w:rPr>
                <w:rFonts w:ascii="Times New Roman" w:eastAsia="Times New Roman" w:hAnsi="Times New Roman"/>
                <w:sz w:val="17"/>
              </w:rPr>
              <w:t xml:space="preserve">FSE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Companion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2026.</w:t>
            </w:r>
          </w:p>
        </w:tc>
        <w:tc>
          <w:tcPr>
            <w:tcW w:w="850" w:type="dxa"/>
            <w:shd w:val="clear" w:color="auto" w:fill="FFF2CC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</w:p>
        </w:tc>
        <w:tc>
          <w:tcPr>
            <w:tcW w:w="1150" w:type="dxa"/>
            <w:shd w:val="clear" w:color="auto" w:fill="FFF2CC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Conferencia</w:t>
            </w:r>
          </w:p>
        </w:tc>
        <w:tc>
          <w:tcPr>
            <w:tcW w:w="430" w:type="dxa"/>
            <w:shd w:val="clear" w:color="auto" w:fill="FFF2CC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0</w:t>
            </w:r>
          </w:p>
        </w:tc>
        <w:tc>
          <w:tcPr>
            <w:tcW w:w="2530" w:type="dxa"/>
            <w:shd w:val="clear" w:color="auto" w:fill="FFF2CC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No seleccionado: CI4 no evidente en título/metadatos (reserva; verificar resumen).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7</w:t>
            </w:r>
          </w:p>
        </w:tc>
        <w:tc>
          <w:tcPr>
            <w:tcW w:w="400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Stein (2026). Toward a taxonomy of generative AI use cases in business contexts: Integrating complexity, risk, and strategy.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Journal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of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Computational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Science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>, 96, 102826.</w:t>
            </w:r>
          </w:p>
        </w:tc>
        <w:tc>
          <w:tcPr>
            <w:tcW w:w="8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</w:p>
        </w:tc>
        <w:tc>
          <w:tcPr>
            <w:tcW w:w="11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Artículo</w:t>
            </w:r>
          </w:p>
        </w:tc>
        <w:tc>
          <w:tcPr>
            <w:tcW w:w="43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4</w:t>
            </w:r>
          </w:p>
        </w:tc>
        <w:tc>
          <w:tcPr>
            <w:tcW w:w="253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Seleccionado (Tabla 2, #3).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8</w:t>
            </w:r>
          </w:p>
        </w:tc>
        <w:tc>
          <w:tcPr>
            <w:tcW w:w="400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 xml:space="preserve">Kushnerov, Sokol, Akhiiezer, … Nadtochyi &amp; Balagura (2026). </w:t>
            </w:r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Zero-trust Conceptual Architecture for Secure Integration of Large Language Models and Autonomous AI Agents. </w:t>
            </w:r>
            <w:r w:rsidRPr="008971C0">
              <w:rPr>
                <w:rFonts w:ascii="Times New Roman" w:eastAsia="Times New Roman" w:hAnsi="Times New Roman"/>
                <w:sz w:val="17"/>
              </w:rPr>
              <w:t>ICHORA 2026.</w:t>
            </w:r>
          </w:p>
        </w:tc>
        <w:tc>
          <w:tcPr>
            <w:tcW w:w="8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</w:p>
        </w:tc>
        <w:tc>
          <w:tcPr>
            <w:tcW w:w="11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Conferencia</w:t>
            </w:r>
          </w:p>
        </w:tc>
        <w:tc>
          <w:tcPr>
            <w:tcW w:w="43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2</w:t>
            </w:r>
          </w:p>
        </w:tc>
        <w:tc>
          <w:tcPr>
            <w:tcW w:w="253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Seleccionado (Tabla 2, #4).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9</w:t>
            </w:r>
          </w:p>
        </w:tc>
        <w:tc>
          <w:tcPr>
            <w:tcW w:w="4000" w:type="dx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Aldas-Alarcón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&amp; Carrera (2026). Mitigation of Artificial Intelligence Technical Debt and Its Impact on the Success of Institutional Information Systems During the Digital Transformation of Higher Education. </w:t>
            </w:r>
            <w:r w:rsidRPr="008971C0">
              <w:rPr>
                <w:rFonts w:ascii="Times New Roman" w:eastAsia="Times New Roman" w:hAnsi="Times New Roman"/>
                <w:sz w:val="17"/>
              </w:rPr>
              <w:t>ICEDEG (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Part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F228401).</w:t>
            </w:r>
          </w:p>
        </w:tc>
        <w:tc>
          <w:tcPr>
            <w:tcW w:w="85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</w:p>
        </w:tc>
        <w:tc>
          <w:tcPr>
            <w:tcW w:w="115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Conferencia</w:t>
            </w:r>
          </w:p>
        </w:tc>
        <w:tc>
          <w:tcPr>
            <w:tcW w:w="43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0</w:t>
            </w:r>
          </w:p>
        </w:tc>
        <w:tc>
          <w:tcPr>
            <w:tcW w:w="253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Excluido: CI1/CI2 (IA en general, no IA generativa/LLM/agentes; sin componente arquitectónico explícito).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10</w:t>
            </w:r>
          </w:p>
        </w:tc>
        <w:tc>
          <w:tcPr>
            <w:tcW w:w="400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Siddhu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,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Pappu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&amp;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Thanvi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(2026). Compliance-Aware Generative AI for Life Insurance Document Synthesis: A Reference Architecture. </w:t>
            </w:r>
            <w:r w:rsidRPr="008971C0">
              <w:rPr>
                <w:rFonts w:ascii="Times New Roman" w:eastAsia="Times New Roman" w:hAnsi="Times New Roman"/>
                <w:sz w:val="17"/>
              </w:rPr>
              <w:t>ICAISET 2026.</w:t>
            </w:r>
          </w:p>
        </w:tc>
        <w:tc>
          <w:tcPr>
            <w:tcW w:w="8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</w:p>
        </w:tc>
        <w:tc>
          <w:tcPr>
            <w:tcW w:w="11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Conferencia</w:t>
            </w:r>
          </w:p>
        </w:tc>
        <w:tc>
          <w:tcPr>
            <w:tcW w:w="43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0</w:t>
            </w:r>
          </w:p>
        </w:tc>
        <w:tc>
          <w:tcPr>
            <w:tcW w:w="253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Seleccionado (Tabla 2, #5).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11</w:t>
            </w:r>
          </w:p>
        </w:tc>
        <w:tc>
          <w:tcPr>
            <w:tcW w:w="400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Karuppuchamy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(2026). Governed Agentic AI for Software Platforms: A Reference Architecture for Safe Autonomy at Scale. </w:t>
            </w:r>
            <w:r w:rsidRPr="008971C0">
              <w:rPr>
                <w:rFonts w:ascii="Times New Roman" w:eastAsia="Times New Roman" w:hAnsi="Times New Roman"/>
                <w:sz w:val="17"/>
              </w:rPr>
              <w:t xml:space="preserve">IEEE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SoutheastCon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2026.</w:t>
            </w:r>
          </w:p>
        </w:tc>
        <w:tc>
          <w:tcPr>
            <w:tcW w:w="8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</w:p>
        </w:tc>
        <w:tc>
          <w:tcPr>
            <w:tcW w:w="11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Conferencia</w:t>
            </w:r>
          </w:p>
        </w:tc>
        <w:tc>
          <w:tcPr>
            <w:tcW w:w="43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1</w:t>
            </w:r>
          </w:p>
        </w:tc>
        <w:tc>
          <w:tcPr>
            <w:tcW w:w="253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Seleccionado (Tabla 2, #6).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  <w:shd w:val="clear" w:color="auto" w:fill="FFF2CC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12</w:t>
            </w:r>
          </w:p>
        </w:tc>
        <w:tc>
          <w:tcPr>
            <w:tcW w:w="4000" w:type="dxa"/>
            <w:shd w:val="clear" w:color="auto" w:fill="FFF2CC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Moriarty (2026). From Classroom to Enterprise: Architectural Patterns for LLM Integration. </w:t>
            </w:r>
            <w:r w:rsidRPr="008971C0">
              <w:rPr>
                <w:rFonts w:ascii="Times New Roman" w:eastAsia="Times New Roman" w:hAnsi="Times New Roman"/>
                <w:sz w:val="17"/>
              </w:rPr>
              <w:t xml:space="preserve">IEEE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SysCon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2026.</w:t>
            </w:r>
          </w:p>
        </w:tc>
        <w:tc>
          <w:tcPr>
            <w:tcW w:w="850" w:type="dxa"/>
            <w:shd w:val="clear" w:color="auto" w:fill="FFF2CC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</w:p>
        </w:tc>
        <w:tc>
          <w:tcPr>
            <w:tcW w:w="1150" w:type="dxa"/>
            <w:shd w:val="clear" w:color="auto" w:fill="FFF2CC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Conferencia</w:t>
            </w:r>
          </w:p>
        </w:tc>
        <w:tc>
          <w:tcPr>
            <w:tcW w:w="430" w:type="dxa"/>
            <w:shd w:val="clear" w:color="auto" w:fill="FFF2CC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0</w:t>
            </w:r>
          </w:p>
        </w:tc>
        <w:tc>
          <w:tcPr>
            <w:tcW w:w="2530" w:type="dxa"/>
            <w:shd w:val="clear" w:color="auto" w:fill="FFF2CC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No seleccionado: CI4 no evidente en título/metadatos (reserva; verificar resumen).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13</w:t>
            </w:r>
          </w:p>
        </w:tc>
        <w:tc>
          <w:tcPr>
            <w:tcW w:w="400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Enyedi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(2026). Human-Certified Module Repositories for the AI Age. </w:t>
            </w:r>
            <w:r w:rsidRPr="008971C0">
              <w:rPr>
                <w:rFonts w:ascii="Times New Roman" w:eastAsia="Times New Roman" w:hAnsi="Times New Roman"/>
                <w:sz w:val="17"/>
              </w:rPr>
              <w:t>IEEE AQTR 2026.</w:t>
            </w:r>
          </w:p>
        </w:tc>
        <w:tc>
          <w:tcPr>
            <w:tcW w:w="8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</w:p>
        </w:tc>
        <w:tc>
          <w:tcPr>
            <w:tcW w:w="11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Conferencia</w:t>
            </w:r>
          </w:p>
        </w:tc>
        <w:tc>
          <w:tcPr>
            <w:tcW w:w="43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1</w:t>
            </w:r>
          </w:p>
        </w:tc>
        <w:tc>
          <w:tcPr>
            <w:tcW w:w="253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Seleccionado (Tabla 2, #7).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14</w:t>
            </w:r>
          </w:p>
        </w:tc>
        <w:tc>
          <w:tcPr>
            <w:tcW w:w="4000" w:type="dx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Pokala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(2026). Agentic Dashboard Generation from Natural Language on Lakehouse Platforms. </w:t>
            </w:r>
            <w:r w:rsidRPr="008971C0">
              <w:rPr>
                <w:rFonts w:ascii="Times New Roman" w:eastAsia="Times New Roman" w:hAnsi="Times New Roman"/>
                <w:sz w:val="17"/>
              </w:rPr>
              <w:t>ICAISET 2026.</w:t>
            </w:r>
          </w:p>
        </w:tc>
        <w:tc>
          <w:tcPr>
            <w:tcW w:w="85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</w:p>
        </w:tc>
        <w:tc>
          <w:tcPr>
            <w:tcW w:w="115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Conferencia</w:t>
            </w:r>
          </w:p>
        </w:tc>
        <w:tc>
          <w:tcPr>
            <w:tcW w:w="43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0</w:t>
            </w:r>
          </w:p>
        </w:tc>
        <w:tc>
          <w:tcPr>
            <w:tcW w:w="253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Excluido: CE3/CI4 (IA como herramienta de generación de dashboards; sin componente de gobernanza).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15</w:t>
            </w:r>
          </w:p>
        </w:tc>
        <w:tc>
          <w:tcPr>
            <w:tcW w:w="400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Moraes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, Onofre &amp; Aguiar (2026). Safeguarding Big Data Question-Answering Systems with a Two-Layer Input Guardrails. </w:t>
            </w:r>
            <w:r w:rsidRPr="008971C0">
              <w:rPr>
                <w:rFonts w:ascii="Times New Roman" w:eastAsia="Times New Roman" w:hAnsi="Times New Roman"/>
                <w:sz w:val="17"/>
              </w:rPr>
              <w:t>ICEIS 2026, vol. 1.</w:t>
            </w:r>
          </w:p>
        </w:tc>
        <w:tc>
          <w:tcPr>
            <w:tcW w:w="8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</w:p>
        </w:tc>
        <w:tc>
          <w:tcPr>
            <w:tcW w:w="11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Conferencia</w:t>
            </w:r>
          </w:p>
        </w:tc>
        <w:tc>
          <w:tcPr>
            <w:tcW w:w="43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0</w:t>
            </w:r>
          </w:p>
        </w:tc>
        <w:tc>
          <w:tcPr>
            <w:tcW w:w="253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Seleccionado (Tabla 2, #8).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16</w:t>
            </w:r>
          </w:p>
        </w:tc>
        <w:tc>
          <w:tcPr>
            <w:tcW w:w="4000" w:type="dx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Jikeli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(2026). Model-Driven Development and Low-Code Platforms in Healthcare Digitalization: Opportunities and Challenges. </w:t>
            </w:r>
            <w:r w:rsidRPr="008971C0">
              <w:rPr>
                <w:rFonts w:ascii="Times New Roman" w:eastAsia="Times New Roman" w:hAnsi="Times New Roman"/>
                <w:sz w:val="17"/>
              </w:rPr>
              <w:t xml:space="preserve">En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Advancements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in Digital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Health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and Care.</w:t>
            </w:r>
          </w:p>
        </w:tc>
        <w:tc>
          <w:tcPr>
            <w:tcW w:w="85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</w:p>
        </w:tc>
        <w:tc>
          <w:tcPr>
            <w:tcW w:w="115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Capítulo de libro</w:t>
            </w:r>
          </w:p>
        </w:tc>
        <w:tc>
          <w:tcPr>
            <w:tcW w:w="43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1</w:t>
            </w:r>
          </w:p>
        </w:tc>
        <w:tc>
          <w:tcPr>
            <w:tcW w:w="253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Excluido: CE5 (capítulo de libro); CI1 (no aborda IA generativa/LLM/agentes).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17</w:t>
            </w:r>
          </w:p>
        </w:tc>
        <w:tc>
          <w:tcPr>
            <w:tcW w:w="400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Zeydan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&amp;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Aydeger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(2026). Bias-Free and Auto-Evolving Generative AI: Design Principles, Architectures, and Reinforcement Integration. </w:t>
            </w:r>
            <w:r w:rsidRPr="008971C0">
              <w:rPr>
                <w:rFonts w:ascii="Times New Roman" w:eastAsia="Times New Roman" w:hAnsi="Times New Roman"/>
                <w:sz w:val="17"/>
              </w:rPr>
              <w:t>IEEE CCNC 2026.</w:t>
            </w:r>
          </w:p>
        </w:tc>
        <w:tc>
          <w:tcPr>
            <w:tcW w:w="8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</w:p>
        </w:tc>
        <w:tc>
          <w:tcPr>
            <w:tcW w:w="11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Conferencia</w:t>
            </w:r>
          </w:p>
        </w:tc>
        <w:tc>
          <w:tcPr>
            <w:tcW w:w="43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1</w:t>
            </w:r>
          </w:p>
        </w:tc>
        <w:tc>
          <w:tcPr>
            <w:tcW w:w="253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Seleccionado (Tabla 2, #9).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lastRenderedPageBreak/>
              <w:t>18</w:t>
            </w:r>
          </w:p>
        </w:tc>
        <w:tc>
          <w:tcPr>
            <w:tcW w:w="4000" w:type="dx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Gadani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(2026). Next-Generation Cloud Automation with Generative AI. </w:t>
            </w:r>
            <w:r w:rsidRPr="008971C0">
              <w:rPr>
                <w:rFonts w:ascii="Times New Roman" w:eastAsia="Times New Roman" w:hAnsi="Times New Roman"/>
                <w:sz w:val="17"/>
              </w:rPr>
              <w:t xml:space="preserve">En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Revolutionizing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the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Cloud: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Generative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AI, Security and Sustainability.</w:t>
            </w:r>
          </w:p>
        </w:tc>
        <w:tc>
          <w:tcPr>
            <w:tcW w:w="85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</w:p>
        </w:tc>
        <w:tc>
          <w:tcPr>
            <w:tcW w:w="115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Capítulo de libro</w:t>
            </w:r>
          </w:p>
        </w:tc>
        <w:tc>
          <w:tcPr>
            <w:tcW w:w="43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1</w:t>
            </w:r>
          </w:p>
        </w:tc>
        <w:tc>
          <w:tcPr>
            <w:tcW w:w="253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Excluido: CE5 (capítulo de libro).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  <w:shd w:val="clear" w:color="auto" w:fill="FFF2CC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19</w:t>
            </w:r>
          </w:p>
        </w:tc>
        <w:tc>
          <w:tcPr>
            <w:tcW w:w="4000" w:type="dxa"/>
            <w:shd w:val="clear" w:color="auto" w:fill="FFF2CC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Aminiranjbar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, Tang, Wang, Pant &amp; Viswanathan (2025). DAWN: Designing Distributed Agents in a Worldwide Network. </w:t>
            </w:r>
            <w:r w:rsidRPr="008971C0">
              <w:rPr>
                <w:rFonts w:ascii="Times New Roman" w:eastAsia="Times New Roman" w:hAnsi="Times New Roman"/>
                <w:sz w:val="17"/>
              </w:rPr>
              <w:t>IEEE Access, 13.</w:t>
            </w:r>
          </w:p>
        </w:tc>
        <w:tc>
          <w:tcPr>
            <w:tcW w:w="850" w:type="dxa"/>
            <w:shd w:val="clear" w:color="auto" w:fill="FFF2CC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</w:p>
        </w:tc>
        <w:tc>
          <w:tcPr>
            <w:tcW w:w="1150" w:type="dxa"/>
            <w:shd w:val="clear" w:color="auto" w:fill="FFF2CC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Artículo</w:t>
            </w:r>
          </w:p>
        </w:tc>
        <w:tc>
          <w:tcPr>
            <w:tcW w:w="430" w:type="dxa"/>
            <w:shd w:val="clear" w:color="auto" w:fill="FFF2CC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7</w:t>
            </w:r>
          </w:p>
        </w:tc>
        <w:tc>
          <w:tcPr>
            <w:tcW w:w="2530" w:type="dxa"/>
            <w:shd w:val="clear" w:color="auto" w:fill="FFF2CC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No seleccionado: CI3/CI4 no evidentes en título/metadatos (reserva; verificar resumen).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20</w:t>
            </w:r>
          </w:p>
        </w:tc>
        <w:tc>
          <w:tcPr>
            <w:tcW w:w="4000" w:type="dxa"/>
            <w:shd w:val="clear" w:color="auto" w:fill="E2EFDA"/>
          </w:tcPr>
          <w:p w:rsidR="005532DE" w:rsidRPr="008971C0" w:rsidRDefault="00115B6C">
            <w:pPr>
              <w:spacing w:after="40"/>
              <w:rPr>
                <w:lang w:val="en-US"/>
              </w:rPr>
            </w:pPr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Joshi (2024). Secure Software Architecture for Enterprise Generative Artificial Intelligence. Int. Scientific and Technical Conf. on Computer Sciences and Information Technologies.</w:t>
            </w:r>
          </w:p>
        </w:tc>
        <w:tc>
          <w:tcPr>
            <w:tcW w:w="8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  <w:proofErr w:type="spellEnd"/>
          </w:p>
        </w:tc>
        <w:tc>
          <w:tcPr>
            <w:tcW w:w="115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Conferencia</w:t>
            </w:r>
          </w:p>
        </w:tc>
        <w:tc>
          <w:tcPr>
            <w:tcW w:w="430" w:type="dxa"/>
            <w:shd w:val="clear" w:color="auto" w:fill="E2EFD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2</w:t>
            </w:r>
          </w:p>
        </w:tc>
        <w:tc>
          <w:tcPr>
            <w:tcW w:w="2530" w:type="dxa"/>
            <w:shd w:val="clear" w:color="auto" w:fill="E2EFD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Seleccionado (Tabla 2, #10).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21</w:t>
            </w:r>
          </w:p>
        </w:tc>
        <w:tc>
          <w:tcPr>
            <w:tcW w:w="400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[Sin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autores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] (2024). 14th International Conference on Software Business, ICSOB 2023.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Lecture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Notes in Business Information Processing, 500.</w:t>
            </w:r>
          </w:p>
        </w:tc>
        <w:tc>
          <w:tcPr>
            <w:tcW w:w="85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Scopus</w:t>
            </w:r>
          </w:p>
        </w:tc>
        <w:tc>
          <w:tcPr>
            <w:tcW w:w="115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Reseña de conferencia</w:t>
            </w:r>
          </w:p>
        </w:tc>
        <w:tc>
          <w:tcPr>
            <w:tcW w:w="43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—</w:t>
            </w:r>
          </w:p>
        </w:tc>
        <w:tc>
          <w:tcPr>
            <w:tcW w:w="253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Excluido: CE2 (actas sin autores ni resumen de estudio); CI1.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22</w:t>
            </w:r>
          </w:p>
        </w:tc>
        <w:tc>
          <w:tcPr>
            <w:tcW w:w="4000" w:type="dxa"/>
          </w:tcPr>
          <w:p w:rsidR="005532DE" w:rsidRPr="008971C0" w:rsidRDefault="00115B6C">
            <w:pPr>
              <w:spacing w:after="40"/>
              <w:rPr>
                <w:lang w:val="en-US"/>
              </w:rPr>
            </w:pPr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Vasa (2024). Generative AI and Agentic Orchestration for Data Engineering in Multi-Domain Enterprise Analytics Platforms. International Journal of Artificial Intelligence, Data Science, and Machine Learning, 5(4).</w:t>
            </w:r>
          </w:p>
        </w:tc>
        <w:tc>
          <w:tcPr>
            <w:tcW w:w="850" w:type="dx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Semantic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Scholar</w:t>
            </w:r>
            <w:proofErr w:type="spellEnd"/>
          </w:p>
        </w:tc>
        <w:tc>
          <w:tcPr>
            <w:tcW w:w="115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Artículo</w:t>
            </w:r>
          </w:p>
        </w:tc>
        <w:tc>
          <w:tcPr>
            <w:tcW w:w="43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—</w:t>
            </w:r>
          </w:p>
        </w:tc>
        <w:tc>
          <w:tcPr>
            <w:tcW w:w="253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Excluido: CI4 no evidente (validación de calidad de datos, no gobernanza de la IA); revisión por pares por confirmar (CE5).</w:t>
            </w:r>
          </w:p>
        </w:tc>
      </w:tr>
      <w:tr w:rsidR="005532DE" w:rsidRPr="008971C0">
        <w:trPr>
          <w:cantSplit/>
          <w:jc w:val="center"/>
        </w:trPr>
        <w:tc>
          <w:tcPr>
            <w:tcW w:w="40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23</w:t>
            </w:r>
          </w:p>
        </w:tc>
        <w:tc>
          <w:tcPr>
            <w:tcW w:w="400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Maire,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Badmaev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, … &amp;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Tirchas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(2026). Agentic AI Framework for Technical Excellence: A Scalable Discipline-Based Multimodal Assistant for the Subsurface. </w:t>
            </w:r>
            <w:r w:rsidRPr="008971C0">
              <w:rPr>
                <w:rFonts w:ascii="Times New Roman" w:eastAsia="Times New Roman" w:hAnsi="Times New Roman"/>
                <w:sz w:val="17"/>
              </w:rPr>
              <w:t xml:space="preserve">IPTC Summit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on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AI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for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the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Energy Industry.</w:t>
            </w:r>
          </w:p>
        </w:tc>
        <w:tc>
          <w:tcPr>
            <w:tcW w:w="85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Semantic Scholar</w:t>
            </w:r>
          </w:p>
        </w:tc>
        <w:tc>
          <w:tcPr>
            <w:tcW w:w="115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Conferencia</w:t>
            </w:r>
          </w:p>
        </w:tc>
        <w:tc>
          <w:tcPr>
            <w:tcW w:w="43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—</w:t>
            </w:r>
          </w:p>
        </w:tc>
        <w:tc>
          <w:tcPr>
            <w:tcW w:w="253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Excluido: CI3/CI4 (dominio de subsuelo/energía; sin enfoque de ingeniería de software ni gobernanza).</w:t>
            </w:r>
          </w:p>
        </w:tc>
      </w:tr>
    </w:tbl>
    <w:p w:rsidR="005532DE" w:rsidRPr="008971C0" w:rsidRDefault="00115B6C">
      <w:pPr>
        <w:spacing w:before="60" w:after="160"/>
        <w:jc w:val="center"/>
      </w:pPr>
      <w:r w:rsidRPr="008971C0">
        <w:rPr>
          <w:rFonts w:ascii="Times New Roman" w:eastAsia="Times New Roman" w:hAnsi="Times New Roman"/>
          <w:i/>
          <w:sz w:val="19"/>
        </w:rPr>
        <w:t>Tabla 1. Resultados de la búsqueda y decisión de cribado. Cit. = citas en Scopus (— = sin dato). Fuente: elaboración propia a partir de Scopus y Semantic Scholar. * Año asignado por Scopus en la exportación (posterior a la fecha de ejecución de la búsqueda y fuera del rango 2022–2026 de CI5);</w:t>
      </w:r>
    </w:p>
    <w:p w:rsidR="005532DE" w:rsidRPr="008971C0" w:rsidRDefault="00115B6C">
      <w:pPr>
        <w:keepNext/>
        <w:spacing w:before="160" w:after="80"/>
      </w:pPr>
      <w:r w:rsidRPr="008971C0">
        <w:rPr>
          <w:rFonts w:ascii="Times New Roman" w:eastAsia="Times New Roman" w:hAnsi="Times New Roman"/>
          <w:b/>
          <w:sz w:val="24"/>
        </w:rPr>
        <w:t>Estudios seleccionados (n = 10)</w:t>
      </w:r>
    </w:p>
    <w:p w:rsidR="005532DE" w:rsidRPr="008971C0" w:rsidRDefault="00115B6C">
      <w:pPr>
        <w:keepNext/>
        <w:spacing w:after="120"/>
        <w:jc w:val="both"/>
      </w:pPr>
      <w:r w:rsidRPr="008971C0">
        <w:rPr>
          <w:rFonts w:ascii="Times New Roman" w:eastAsia="Times New Roman" w:hAnsi="Times New Roman"/>
        </w:rPr>
        <w:t xml:space="preserve">La Tabla 2 presenta los 10 estudios que cumplen CI1–CI5 y no incurren en CE1–CE5. Los registros #4, #6, #12 y #19 de la Tabla 1 cumplen el resto de criterios, pero CI4 (o CI3) no es evidente en título y metadatos; quedan como reserva hasta verificarlos en el resumen. La columna </w:t>
      </w:r>
      <w:r w:rsidR="00BD5613" w:rsidRPr="008971C0">
        <w:rPr>
          <w:rFonts w:ascii="Times New Roman" w:eastAsia="Times New Roman" w:hAnsi="Times New Roman"/>
        </w:rPr>
        <w:t>“</w:t>
      </w:r>
      <w:r w:rsidRPr="008971C0">
        <w:rPr>
          <w:rFonts w:ascii="Times New Roman" w:eastAsia="Times New Roman" w:hAnsi="Times New Roman"/>
        </w:rPr>
        <w:t>Aporte / enfoque</w:t>
      </w:r>
      <w:r w:rsidR="00BD5613" w:rsidRPr="008971C0">
        <w:rPr>
          <w:rFonts w:ascii="Times New Roman" w:eastAsia="Times New Roman" w:hAnsi="Times New Roman"/>
        </w:rPr>
        <w:t>”</w:t>
      </w:r>
      <w:r w:rsidRPr="008971C0">
        <w:rPr>
          <w:rFonts w:ascii="Times New Roman" w:eastAsia="Times New Roman" w:hAnsi="Times New Roman"/>
        </w:rPr>
        <w:t xml:space="preserve"> indica la base de lectura: [Texto completo] cuando se leyó el artículo completo, o [Resumen del editor] cuando solo se dispuso del resumen publicado en IEEE Xplore.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380"/>
        <w:gridCol w:w="3300"/>
        <w:gridCol w:w="480"/>
        <w:gridCol w:w="480"/>
        <w:gridCol w:w="480"/>
        <w:gridCol w:w="480"/>
        <w:gridCol w:w="480"/>
        <w:gridCol w:w="3260"/>
      </w:tblGrid>
      <w:tr w:rsidR="005532DE" w:rsidRPr="008971C0">
        <w:trPr>
          <w:cantSplit/>
          <w:tblHeader/>
          <w:jc w:val="center"/>
        </w:trPr>
        <w:tc>
          <w:tcPr>
            <w:tcW w:w="380" w:type="dxa"/>
            <w:shd w:val="clear" w:color="auto" w:fill="1F3864"/>
            <w:vAlign w:val="center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7"/>
              </w:rPr>
              <w:t>#</w:t>
            </w:r>
          </w:p>
        </w:tc>
        <w:tc>
          <w:tcPr>
            <w:tcW w:w="3300" w:type="dxa"/>
            <w:shd w:val="clear" w:color="auto" w:fill="1F3864"/>
            <w:vAlign w:val="center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7"/>
              </w:rPr>
              <w:t>Referencia</w:t>
            </w:r>
          </w:p>
        </w:tc>
        <w:tc>
          <w:tcPr>
            <w:tcW w:w="480" w:type="dxa"/>
            <w:shd w:val="clear" w:color="auto" w:fill="1F3864"/>
            <w:vAlign w:val="center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7"/>
              </w:rPr>
              <w:t>CI1</w:t>
            </w:r>
          </w:p>
        </w:tc>
        <w:tc>
          <w:tcPr>
            <w:tcW w:w="480" w:type="dxa"/>
            <w:shd w:val="clear" w:color="auto" w:fill="1F3864"/>
            <w:vAlign w:val="center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7"/>
              </w:rPr>
              <w:t>CI2</w:t>
            </w:r>
          </w:p>
        </w:tc>
        <w:tc>
          <w:tcPr>
            <w:tcW w:w="480" w:type="dxa"/>
            <w:shd w:val="clear" w:color="auto" w:fill="1F3864"/>
            <w:vAlign w:val="center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7"/>
              </w:rPr>
              <w:t>CI3</w:t>
            </w:r>
          </w:p>
        </w:tc>
        <w:tc>
          <w:tcPr>
            <w:tcW w:w="480" w:type="dxa"/>
            <w:shd w:val="clear" w:color="auto" w:fill="1F3864"/>
            <w:vAlign w:val="center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7"/>
              </w:rPr>
              <w:t>CI4</w:t>
            </w:r>
          </w:p>
        </w:tc>
        <w:tc>
          <w:tcPr>
            <w:tcW w:w="480" w:type="dxa"/>
            <w:shd w:val="clear" w:color="auto" w:fill="1F3864"/>
            <w:vAlign w:val="center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7"/>
              </w:rPr>
              <w:t>CI5</w:t>
            </w:r>
          </w:p>
        </w:tc>
        <w:tc>
          <w:tcPr>
            <w:tcW w:w="3260" w:type="dxa"/>
            <w:shd w:val="clear" w:color="auto" w:fill="1F3864"/>
            <w:vAlign w:val="center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7"/>
              </w:rPr>
              <w:t>Aporte / enfoque (base de lectura)</w:t>
            </w:r>
          </w:p>
        </w:tc>
      </w:tr>
      <w:tr w:rsidR="005532DE" w:rsidRPr="008971C0">
        <w:trPr>
          <w:cantSplit/>
          <w:jc w:val="center"/>
        </w:trPr>
        <w:tc>
          <w:tcPr>
            <w:tcW w:w="3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1</w:t>
            </w:r>
          </w:p>
        </w:tc>
        <w:tc>
          <w:tcPr>
            <w:tcW w:w="330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Do Val Lopes, Pitta, Belem, Alves &amp; Martins (2026). Engineering AI Agents for Clinical Workflows: A Case Study in Architecture,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MLOps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, and Governance. </w:t>
            </w:r>
            <w:r w:rsidRPr="008971C0">
              <w:rPr>
                <w:rFonts w:ascii="Times New Roman" w:eastAsia="Times New Roman" w:hAnsi="Times New Roman"/>
                <w:sz w:val="17"/>
              </w:rPr>
              <w:t>CAIN 2026. Conferencia.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326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[Texto completo] Caso de estudio industrial de la plataforma “Maria” (atención primaria de salud, Brasil, en producción), presentada como arquitectura de referencia: Clean Architecture más arquitectura orientada a eventos, el agente como unidad de modularidad con ciclo MLOps propio y gobernanza human-in-the-loop (HITL) con registro de auditoría inmutable. Evidencia observacional de producción (mediana de latencia de la API de 6,13 ms; 0,0 % de fallos en endpoints críticos de agentes; de 144 revisiones clínicas explícitas, 81 % aprobadas, 19 % corregidas y 0 % rechazadas), sin línea base comparativa; la generalización se deja como trabajo futuro. Dominio regulado (salud); la IA es el sistema gobernado.</w:t>
            </w:r>
          </w:p>
        </w:tc>
      </w:tr>
      <w:tr w:rsidR="005532DE" w:rsidRPr="008971C0">
        <w:trPr>
          <w:cantSplit/>
          <w:jc w:val="center"/>
        </w:trPr>
        <w:tc>
          <w:tcPr>
            <w:tcW w:w="3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lastRenderedPageBreak/>
              <w:t>2</w:t>
            </w:r>
          </w:p>
        </w:tc>
        <w:tc>
          <w:tcPr>
            <w:tcW w:w="3300" w:type="dx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Alenezi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,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Akour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&amp; Al-Omari (2026). Agentic Artificial Intelligence in Software Engineering: Integration Points, Architectural Frameworks, Empirical Evaluation, and Governance. </w:t>
            </w:r>
            <w:r w:rsidRPr="008971C0">
              <w:rPr>
                <w:rFonts w:ascii="Times New Roman" w:eastAsia="Times New Roman" w:hAnsi="Times New Roman"/>
                <w:sz w:val="17"/>
              </w:rPr>
              <w:t xml:space="preserve">International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Journal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of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Technology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>, 17(4). Artículo.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326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[Texto completo] Marco arquitectónico (percepción, razonamiento, memoria y acción, con gobernanza y observabilidad) y modelo de gobernanza basado en políticas (policy engine, HITL) para integrar IA agéntica en el SDLC. Revisión sistemática (2024–2025) y estudio multicaso cuasi-experimental pre/post en 4 proyectos de una misma corporación (8 semanas de línea base y 12 de tratamiento; prueba de Wilcoxon): reducción del tiempo de ciclo de 40–55 % y del MTTR de 33–48 %, sin brechas de cumplimiento observadas. Límites declarados: N = 4, una sola organización, sin aleatorización; las fases de requisitos y arquitectura se tratan solo de forma conceptual.</w:t>
            </w:r>
          </w:p>
        </w:tc>
      </w:tr>
      <w:tr w:rsidR="005532DE" w:rsidRPr="008971C0">
        <w:trPr>
          <w:cantSplit/>
          <w:jc w:val="center"/>
        </w:trPr>
        <w:tc>
          <w:tcPr>
            <w:tcW w:w="3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3</w:t>
            </w:r>
          </w:p>
        </w:tc>
        <w:tc>
          <w:tcPr>
            <w:tcW w:w="330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Stein (2026). Toward a taxonomy of generative AI use cases in business contexts: Integrating complexity, risk, and strategy.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Journal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of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Computational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Science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>, 96, 102826. Artículo.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326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[Texto completo] Taxonomía conceptual de casos de uso de IA generativa en cuatro niveles de complejidad (A asistentes de trabajo, B generación automática de código, C generación de texto integrada en sistemas, D uso de herramientas) y cinco perspectivas (contexto de aplicación, creación de valor, alineación estratégica, autonomía técnica y gobernanza de datos/Data Mesh), dirigida a arquitectos empresariales. Se apoya en literatura académica y de la industria; el propio autor indica que requiere validación empírica.</w:t>
            </w:r>
          </w:p>
        </w:tc>
      </w:tr>
      <w:tr w:rsidR="005532DE" w:rsidRPr="008971C0">
        <w:trPr>
          <w:cantSplit/>
          <w:jc w:val="center"/>
        </w:trPr>
        <w:tc>
          <w:tcPr>
            <w:tcW w:w="3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4</w:t>
            </w:r>
          </w:p>
        </w:tc>
        <w:tc>
          <w:tcPr>
            <w:tcW w:w="330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 xml:space="preserve">Kushnerov, Sokol, Akhiiezer, … Nadtochyi &amp; Balagura (2026). </w:t>
            </w:r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Zero-trust Conceptual Architecture for Secure Integration of Large Language Models and Autonomous AI Agents. </w:t>
            </w:r>
            <w:r w:rsidRPr="008971C0">
              <w:rPr>
                <w:rFonts w:ascii="Times New Roman" w:eastAsia="Times New Roman" w:hAnsi="Times New Roman"/>
                <w:sz w:val="17"/>
              </w:rPr>
              <w:t>ICHORA 2026. Conferencia.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326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[Resumen del editor] Marco arquitectónico Zero Trust con formalización matemática para ecosistemas multiagente (agentes de codificación autónomos): puerta de enlace semántica, entornos aislados efímeros y autorización continua mediante redes neuronales de grafos heterogéneos (HGNN). El resumen reporta validación por simulación de 100 000 transacciones asíncronas, con tasa de verdaderos positivos superior al 98,7 % en la detección de vulnerabilidades de ejecución remota de código y pocos falsos positivos. Foco en seguridad.</w:t>
            </w:r>
          </w:p>
        </w:tc>
      </w:tr>
      <w:tr w:rsidR="005532DE" w:rsidRPr="008971C0">
        <w:trPr>
          <w:cantSplit/>
          <w:jc w:val="center"/>
        </w:trPr>
        <w:tc>
          <w:tcPr>
            <w:tcW w:w="3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5</w:t>
            </w:r>
          </w:p>
        </w:tc>
        <w:tc>
          <w:tcPr>
            <w:tcW w:w="3300" w:type="dx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Siddhu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,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Pappu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&amp;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Thanvi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(2026). Compliance-Aware Generative AI for Life Insurance Document Synthesis: A Reference Architecture. </w:t>
            </w:r>
            <w:r w:rsidRPr="008971C0">
              <w:rPr>
                <w:rFonts w:ascii="Times New Roman" w:eastAsia="Times New Roman" w:hAnsi="Times New Roman"/>
                <w:sz w:val="17"/>
              </w:rPr>
              <w:t>ICAISET 2026. Conferencia.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326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[Resumen del editor] Arquitectura de referencia con conciencia de cumplimiento que separa la generación probabilística de la verificación determinista del cumplimiento (recuperación para sustento, validación automatizada y revisión humana) para documentos de seguros de vida. Evaluada con 4 LLM, 50 casos de prueba y 186 comparaciones frente a una línea base: 80 % menos de afirmaciones sin sustento (26,5 % a 5,3 %) y 100 % de aprobación (73 % listos para enviar). Dominio regulado (seguros); síntesis de documentos, no desarrollo de software.</w:t>
            </w:r>
          </w:p>
        </w:tc>
      </w:tr>
      <w:tr w:rsidR="005532DE" w:rsidRPr="008971C0">
        <w:trPr>
          <w:cantSplit/>
          <w:jc w:val="center"/>
        </w:trPr>
        <w:tc>
          <w:tcPr>
            <w:tcW w:w="3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lastRenderedPageBreak/>
              <w:t>6</w:t>
            </w:r>
          </w:p>
        </w:tc>
        <w:tc>
          <w:tcPr>
            <w:tcW w:w="3300" w:type="dx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Karuppuchamy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(2026). Governed Agentic AI for Software Platforms: A Reference Architecture for Safe Autonomy at Scale. </w:t>
            </w:r>
            <w:r w:rsidRPr="008971C0">
              <w:rPr>
                <w:rFonts w:ascii="Times New Roman" w:eastAsia="Times New Roman" w:hAnsi="Times New Roman"/>
                <w:sz w:val="17"/>
              </w:rPr>
              <w:t xml:space="preserve">IEEE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SoutheastCon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2026. Conferencia.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326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[Resumen del editor] Plano de control de gobernanza para IA agéntica en plataformas de software, en cuatro capas (interpretación de intención con LLM, planificación con políticas, ejecución protegida sobre APIs, y telemetría, auditoría y reversión) y “autonomía acotada” (políticas declarativas, puertas de aprobación, validación en ejecución y listas de permitidos). Se ilustra con escenarios empresariales (despliegue de funcionalidades asistido por IA, triage de incidencias) y mediciones sobre un prototipo; el resumen disponible aparece truncado.</w:t>
            </w:r>
          </w:p>
        </w:tc>
      </w:tr>
      <w:tr w:rsidR="005532DE" w:rsidRPr="008971C0">
        <w:trPr>
          <w:cantSplit/>
          <w:jc w:val="center"/>
        </w:trPr>
        <w:tc>
          <w:tcPr>
            <w:tcW w:w="3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7</w:t>
            </w:r>
          </w:p>
        </w:tc>
        <w:tc>
          <w:tcPr>
            <w:tcW w:w="3300" w:type="dx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Enyedi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(2026). Human-Certified Module Repositories for the AI Age. </w:t>
            </w:r>
            <w:r w:rsidRPr="008971C0">
              <w:rPr>
                <w:rFonts w:ascii="Times New Roman" w:eastAsia="Times New Roman" w:hAnsi="Times New Roman"/>
                <w:sz w:val="17"/>
              </w:rPr>
              <w:t>IEEE AQTR 2026. Conferencia.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326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[Resumen del editor] Repositorios de módulos certificados por humanos (HCMR): arquitectura de referencia con flujo de certificación y procedencia, contratos de interfaz explícitos, análisis de superficies de amenaza y lecciones de fallas recientes, para el ensamblaje seguro de software por humanos y agentes de IA. Discute gobernanza y rendición de cuentas; el resumen no declara evaluación empírica.</w:t>
            </w:r>
          </w:p>
        </w:tc>
      </w:tr>
      <w:tr w:rsidR="005532DE" w:rsidRPr="008971C0">
        <w:trPr>
          <w:cantSplit/>
          <w:jc w:val="center"/>
        </w:trPr>
        <w:tc>
          <w:tcPr>
            <w:tcW w:w="3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8</w:t>
            </w:r>
          </w:p>
        </w:tc>
        <w:tc>
          <w:tcPr>
            <w:tcW w:w="3300" w:type="dx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Moraes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, Onofre &amp; Aguiar (2026). Safeguarding Big Data Question-Answering Systems with a Two-Layer Input Guardrails. </w:t>
            </w:r>
            <w:r w:rsidRPr="008971C0">
              <w:rPr>
                <w:rFonts w:ascii="Times New Roman" w:eastAsia="Times New Roman" w:hAnsi="Times New Roman"/>
                <w:sz w:val="17"/>
              </w:rPr>
              <w:t>ICEIS 2026, vol. 1. Conferencia.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326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[Texto completo] Safe-BigQA: arquitectura de referencia orientada a seguridad para sistemas de preguntas y respuestas sobre big data, con guardarraíles de entrada en dos capas (modelo de lenguaje pequeño como filtro y LLM como respaldo). Experimentos de detección de jailbreak con 3 conjuntos de datos y 6 modelos: F1 de hasta 62,87 % y mejora de 9,64 % sobre LlamaGuard. Seguridad de un sistema en operación, no apoyo al desarrollo; los autores señalan que la eficacia depende de la calidad del análisis de la primera etapa.</w:t>
            </w:r>
          </w:p>
        </w:tc>
      </w:tr>
      <w:tr w:rsidR="005532DE" w:rsidRPr="008971C0">
        <w:trPr>
          <w:cantSplit/>
          <w:jc w:val="center"/>
        </w:trPr>
        <w:tc>
          <w:tcPr>
            <w:tcW w:w="3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9</w:t>
            </w:r>
          </w:p>
        </w:tc>
        <w:tc>
          <w:tcPr>
            <w:tcW w:w="3300" w:type="dxa"/>
          </w:tcPr>
          <w:p w:rsidR="005532DE" w:rsidRPr="008971C0" w:rsidRDefault="00115B6C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Zeydan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&amp;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Aydeger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(2026). Bias-Free and Auto-Evolving Generative AI: Design Principles, Architectures, and Reinforcement Integration. </w:t>
            </w:r>
            <w:r w:rsidRPr="008971C0">
              <w:rPr>
                <w:rFonts w:ascii="Times New Roman" w:eastAsia="Times New Roman" w:hAnsi="Times New Roman"/>
                <w:sz w:val="17"/>
              </w:rPr>
              <w:t>IEEE CCNC 2026. Conferencia.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326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[Resumen del editor] Marco y arquitectura de referencia para pipelines de IA generativa libres de sesgo y autoevolutivos: orquestación consciente de equidad, mecanismos de explicabilidad, resiliencia ante envenenamiento de prompts y de datos, y aprendizaje por refuerzo con humano en el bucle, con atención al cumplimiento de regulaciones de IA. El resumen no declara evaluación empírica.</w:t>
            </w:r>
          </w:p>
        </w:tc>
      </w:tr>
      <w:tr w:rsidR="005532DE" w:rsidRPr="008971C0">
        <w:trPr>
          <w:cantSplit/>
          <w:jc w:val="center"/>
        </w:trPr>
        <w:tc>
          <w:tcPr>
            <w:tcW w:w="3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10</w:t>
            </w:r>
          </w:p>
        </w:tc>
        <w:tc>
          <w:tcPr>
            <w:tcW w:w="330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Joshi (2024). Secure Software Architecture for Enterprise Generative Artificial Intelligence. 2024 IEEE 19th International Conference on Computer Science and Information Technologies (CSIT). </w:t>
            </w:r>
            <w:r w:rsidRPr="008971C0">
              <w:rPr>
                <w:rFonts w:ascii="Times New Roman" w:eastAsia="Times New Roman" w:hAnsi="Times New Roman"/>
                <w:sz w:val="17"/>
              </w:rPr>
              <w:t>Conferencia.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480" w:type="dxa"/>
          </w:tcPr>
          <w:p w:rsidR="005532DE" w:rsidRPr="008971C0" w:rsidRDefault="00115B6C">
            <w:pPr>
              <w:spacing w:after="40"/>
              <w:jc w:val="center"/>
            </w:pPr>
            <w:r w:rsidRPr="008971C0">
              <w:rPr>
                <w:rFonts w:ascii="Times New Roman" w:eastAsia="Times New Roman" w:hAnsi="Times New Roman"/>
                <w:sz w:val="17"/>
              </w:rPr>
              <w:t>✓</w:t>
            </w:r>
          </w:p>
        </w:tc>
        <w:tc>
          <w:tcPr>
            <w:tcW w:w="3260" w:type="dxa"/>
          </w:tcPr>
          <w:p w:rsidR="005532DE" w:rsidRPr="008971C0" w:rsidRDefault="00115B6C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[Resumen del editor] Patrón de diseño de arquitectura segura para IA generativa en aplicaciones empresariales (seguridad y privacidad de datos sensibles), ilustrado con un prototipo técnico de un caso de uso de marketing de producto. El resumen no declara evaluación empírica; dominio comercial.</w:t>
            </w:r>
          </w:p>
        </w:tc>
      </w:tr>
    </w:tbl>
    <w:p w:rsidR="005532DE" w:rsidRPr="008971C0" w:rsidRDefault="00115B6C">
      <w:pPr>
        <w:spacing w:before="60" w:after="160"/>
        <w:jc w:val="center"/>
      </w:pPr>
      <w:r w:rsidRPr="008971C0">
        <w:rPr>
          <w:rFonts w:ascii="Times New Roman" w:eastAsia="Times New Roman" w:hAnsi="Times New Roman"/>
          <w:i/>
          <w:sz w:val="19"/>
        </w:rPr>
        <w:t>Tabla 2. Estudios seleccionados según los criterios de inclusión. CI1: IA generativa/LLM/agentes; CI2: arquitectura, framework o patrones; CI3: ingeniería de software o integración empresarial; CI4: cumplimiento, verificación, seguridad o gobernanza; CI5: 2022–2026, revisado por pares. Fuente: elaboración propia.</w:t>
      </w:r>
    </w:p>
    <w:p w:rsidR="00F5508D" w:rsidRPr="008971C0" w:rsidRDefault="00F5508D">
      <w:pPr>
        <w:keepNext/>
        <w:spacing w:before="160" w:after="80"/>
        <w:rPr>
          <w:rFonts w:ascii="Times New Roman" w:eastAsia="Times New Roman" w:hAnsi="Times New Roman"/>
          <w:b/>
          <w:sz w:val="24"/>
        </w:rPr>
      </w:pPr>
    </w:p>
    <w:p w:rsidR="00286C12" w:rsidRPr="008971C0" w:rsidRDefault="00F27056">
      <w:pPr>
        <w:keepNext/>
        <w:spacing w:before="160" w:after="80"/>
      </w:pPr>
      <w:r w:rsidRPr="008971C0">
        <w:rPr>
          <w:rFonts w:ascii="Times New Roman" w:eastAsia="Times New Roman" w:hAnsi="Times New Roman"/>
          <w:b/>
          <w:sz w:val="24"/>
        </w:rPr>
        <w:t>Síntesis de hallazgos</w:t>
      </w:r>
    </w:p>
    <w:p w:rsidR="00286C12" w:rsidRPr="008971C0" w:rsidRDefault="00F27056">
      <w:pPr>
        <w:spacing w:after="60"/>
        <w:ind w:left="216"/>
        <w:jc w:val="both"/>
      </w:pPr>
      <w:r w:rsidRPr="008971C0">
        <w:rPr>
          <w:rFonts w:ascii="Times New Roman" w:eastAsia="Times New Roman" w:hAnsi="Times New Roman"/>
        </w:rPr>
        <w:t xml:space="preserve">• </w:t>
      </w:r>
      <w:r w:rsidRPr="008971C0">
        <w:rPr>
          <w:rFonts w:ascii="Times New Roman" w:eastAsia="Times New Roman" w:hAnsi="Times New Roman"/>
          <w:b/>
        </w:rPr>
        <w:t>Predominan las propuestas arquitectónicas.</w:t>
      </w:r>
      <w:r w:rsidRPr="008971C0">
        <w:rPr>
          <w:rFonts w:ascii="Times New Roman" w:eastAsia="Times New Roman" w:hAnsi="Times New Roman"/>
        </w:rPr>
        <w:t xml:space="preserve"> 9 de 10 estudios proponen o presentan una arquitectura (arquitectura de referencia, marco, patrón o diseño de referencia): #1, #2, #4, #5, #6, #7, #8, #9 y #10, según el texto completo (#1, #2, #8) o el resumen del editor (#4–#7, #9, #10). El #3 es una taxonomía de casos de uso, sin artefacto arquitectónico.</w:t>
      </w:r>
    </w:p>
    <w:p w:rsidR="00286C12" w:rsidRPr="008971C0" w:rsidRDefault="00F27056">
      <w:pPr>
        <w:spacing w:after="60"/>
        <w:ind w:left="216"/>
        <w:jc w:val="both"/>
      </w:pPr>
      <w:r w:rsidRPr="008971C0">
        <w:rPr>
          <w:rFonts w:ascii="Times New Roman" w:eastAsia="Times New Roman" w:hAnsi="Times New Roman"/>
        </w:rPr>
        <w:t xml:space="preserve">• </w:t>
      </w:r>
      <w:r w:rsidRPr="008971C0">
        <w:rPr>
          <w:rFonts w:ascii="Times New Roman" w:eastAsia="Times New Roman" w:hAnsi="Times New Roman"/>
          <w:b/>
        </w:rPr>
        <w:t>La gobernanza y el cumplimiento son explícitos en 7 de 10 estudios.</w:t>
      </w:r>
      <w:r w:rsidRPr="008971C0">
        <w:rPr>
          <w:rFonts w:ascii="Times New Roman" w:eastAsia="Times New Roman" w:hAnsi="Times New Roman"/>
        </w:rPr>
        <w:t xml:space="preserve"> Aparecen en #1, #2, #3, #5, #6, #7 y #9: gobernanza de agentes con human-in-the-loop (#1, #6), marco con gobernanza basada en políticas y evaluación de cumplimiento (#2), riesgo y gobernanza de datos (#3), cumplimiento normativo con verificación determinista separada de la generación (#5), certificación con procedencia y rendición de cuentas (#7) y cumplimiento de regulaciones de IA (#9). Los otros tres abordan seguridad: zero-trust (#4), guardarraíles de entrada (#8) y arquitectura segura para IA empresarial (#10).</w:t>
      </w:r>
    </w:p>
    <w:p w:rsidR="00286C12" w:rsidRPr="008971C0" w:rsidRDefault="00F27056">
      <w:pPr>
        <w:spacing w:after="60"/>
        <w:ind w:left="216"/>
        <w:jc w:val="both"/>
      </w:pPr>
      <w:r w:rsidRPr="008971C0">
        <w:rPr>
          <w:rFonts w:ascii="Times New Roman" w:eastAsia="Times New Roman" w:hAnsi="Times New Roman"/>
        </w:rPr>
        <w:t xml:space="preserve">• </w:t>
      </w:r>
      <w:r w:rsidRPr="008971C0">
        <w:rPr>
          <w:rFonts w:ascii="Times New Roman" w:eastAsia="Times New Roman" w:hAnsi="Times New Roman"/>
          <w:b/>
        </w:rPr>
        <w:t>Evidencia empírica heterogénea y, en general, limitada.</w:t>
      </w:r>
      <w:r w:rsidRPr="008971C0">
        <w:rPr>
          <w:rFonts w:ascii="Times New Roman" w:eastAsia="Times New Roman" w:hAnsi="Times New Roman"/>
        </w:rPr>
        <w:t xml:space="preserve"> 6 de 10 estudios reportan alguna evaluación: observación en producción sin línea base (#1), cuasi-experimento pre/post en 4 proyectos de una sola organización (#2), simulación (#4), comparación frente a una línea base en 186 casos (#5), mediciones sobre un prototipo (#6, según el resumen) y experimentos de jailbreak con 3 conjuntos de datos (#8). Los otros 4 no declaran evaluación empírica: #3 (lo reconoce expresamente), #7, #9 y #10 (prototipo ilustrativo). Solo el #2 evalúa IA agéntica en proyectos reales de desarrollo de software, con límites de generalización declarados.</w:t>
      </w:r>
    </w:p>
    <w:p w:rsidR="00286C12" w:rsidRPr="008971C0" w:rsidRDefault="00F27056">
      <w:pPr>
        <w:spacing w:after="60"/>
        <w:ind w:left="216"/>
        <w:jc w:val="both"/>
      </w:pPr>
      <w:r w:rsidRPr="008971C0">
        <w:rPr>
          <w:rFonts w:ascii="Times New Roman" w:eastAsia="Times New Roman" w:hAnsi="Times New Roman"/>
        </w:rPr>
        <w:t xml:space="preserve">• </w:t>
      </w:r>
      <w:r w:rsidRPr="008971C0">
        <w:rPr>
          <w:rFonts w:ascii="Times New Roman" w:eastAsia="Times New Roman" w:hAnsi="Times New Roman"/>
          <w:b/>
        </w:rPr>
        <w:t>Contextos de aplicación.</w:t>
      </w:r>
      <w:r w:rsidRPr="008971C0">
        <w:rPr>
          <w:rFonts w:ascii="Times New Roman" w:eastAsia="Times New Roman" w:hAnsi="Times New Roman"/>
        </w:rPr>
        <w:t xml:space="preserve"> Predominan los entornos empresariales y comerciales; los dominios regulados explícitos son salud (#1) y seguros (#5), y el #2 se aplicó en una corporación de finanzas, salud y analítica. La IA se trata como apoyo al desarrollo u operación de software en #2 (IA agéntica en el SDLC), #4 (agentes de codificación autónomos), #6 (agentes en plataformas de software) y #7 (desarrollo asistido por IA); en #1, #5, #8, #9 y #10 la IA es el sistema que se debe gobernar o proteger, y el #3 clasifica casos de uso (incluida la generación automática de código). Ni los textos completos (#1, #2, #3, #8) ni los resúmenes (#4–#7, #9, #10) aluden a gobierno digital, sector público o seguridad social.</w:t>
      </w:r>
    </w:p>
    <w:p w:rsidR="00286C12" w:rsidRPr="008971C0" w:rsidRDefault="00F27056">
      <w:pPr>
        <w:spacing w:after="60"/>
        <w:ind w:left="216"/>
        <w:jc w:val="both"/>
      </w:pPr>
      <w:r w:rsidRPr="008971C0">
        <w:rPr>
          <w:rFonts w:ascii="Times New Roman" w:eastAsia="Times New Roman" w:hAnsi="Times New Roman"/>
        </w:rPr>
        <w:t xml:space="preserve">• </w:t>
      </w:r>
      <w:r w:rsidRPr="008971C0">
        <w:rPr>
          <w:rFonts w:ascii="Times New Roman" w:eastAsia="Times New Roman" w:hAnsi="Times New Roman"/>
          <w:b/>
        </w:rPr>
        <w:t>Madurez del campo.</w:t>
      </w:r>
      <w:r w:rsidRPr="008971C0">
        <w:rPr>
          <w:rFonts w:ascii="Times New Roman" w:eastAsia="Times New Roman" w:hAnsi="Times New Roman"/>
        </w:rPr>
        <w:t xml:space="preserve"> 9 de los 10 estudios son de 2026 y uno de 2024 (#10); hay 8 conferencias y 2 artículos de revista (#2 y #3); las citas en Scopus van de 0 a 4. Es un campo emergente y todavía poco consolidado.</w:t>
      </w:r>
    </w:p>
    <w:p w:rsidR="00605B34" w:rsidRPr="008971C0" w:rsidRDefault="00605B34" w:rsidP="00605B34">
      <w:pPr>
        <w:spacing w:after="60"/>
        <w:jc w:val="both"/>
      </w:pPr>
    </w:p>
    <w:p w:rsidR="00286C12" w:rsidRPr="008971C0" w:rsidRDefault="00F27056">
      <w:pPr>
        <w:keepNext/>
        <w:spacing w:before="160" w:after="80"/>
      </w:pPr>
      <w:r w:rsidRPr="008971C0">
        <w:rPr>
          <w:rFonts w:ascii="Times New Roman" w:eastAsia="Times New Roman" w:hAnsi="Times New Roman"/>
          <w:b/>
          <w:sz w:val="24"/>
        </w:rPr>
        <w:t>Limitaciones de esta revisión</w:t>
      </w:r>
    </w:p>
    <w:p w:rsidR="00286C12" w:rsidRPr="008971C0" w:rsidRDefault="00F27056">
      <w:pPr>
        <w:spacing w:after="120"/>
        <w:jc w:val="both"/>
        <w:rPr>
          <w:rFonts w:ascii="Times New Roman" w:eastAsia="Times New Roman" w:hAnsi="Times New Roman"/>
        </w:rPr>
      </w:pPr>
      <w:r w:rsidRPr="008971C0">
        <w:rPr>
          <w:rFonts w:ascii="Times New Roman" w:eastAsia="Times New Roman" w:hAnsi="Times New Roman"/>
        </w:rPr>
        <w:t>(i) Cobertura de bases: solo Scopus y Semantic Scholar; ALICIA–CONCYTEC y RENATI–SUNEDU devolvieron 0 registros. (ii) El cribado de los 23 registros se hizo solo con título y metadatos (la exportación no incluye resúmenes) y por un único revisor; los 4 registros en reserva (Tabla 1, #4, #6, #12 y #19), entre ellos Elsisi et al. (2026) y Bandeira et al. (2026), cercanos al ciclo de vida del software, no se han leído y podrían modificar la síntesis. (iii) De los 10 estudios incluidos, 4 se leyeron en texto completo (#1, #2, #3 y #8) y 6 solo a partir del resumen del editor (#4, #5, #6, #7, #9 y #10; el texto completo no estuvo disponible), por lo que para estos últimos el aporte y la validación empírica son los que declara el resumen (el del #6 aparece truncado) y la síntesis sigue siendo provisional. La extracción de datos la hizo un único revisor y no se realizó una evaluación formal de la calidad metodológica ni del riesgo de sesgo. (iv) Se excluyó la literatura gris, las tesis y los capítulos sin revisión por pares (CE5) y se limitó el idioma a inglés y español (CE4), por lo que quedan fuera estándares y guías de gobernanza de IA (p. ej., ISO/IEC 42001, NIST AI RMF). (v) La búsqueda se ejecutó entre setiembre y octubre de 2026.</w:t>
      </w:r>
    </w:p>
    <w:p w:rsidR="00605B34" w:rsidRPr="008971C0" w:rsidRDefault="00605B34">
      <w:pPr>
        <w:spacing w:after="120"/>
        <w:jc w:val="both"/>
      </w:pPr>
    </w:p>
    <w:p w:rsidR="00286C12" w:rsidRPr="008971C0" w:rsidRDefault="00F27056">
      <w:pPr>
        <w:keepNext/>
        <w:spacing w:before="160" w:after="80"/>
      </w:pPr>
      <w:r w:rsidRPr="008971C0">
        <w:rPr>
          <w:rFonts w:ascii="Times New Roman" w:eastAsia="Times New Roman" w:hAnsi="Times New Roman"/>
          <w:b/>
          <w:sz w:val="24"/>
        </w:rPr>
        <w:t>Enlaces de acceso a los estudios</w:t>
      </w:r>
    </w:p>
    <w:p w:rsidR="00286C12" w:rsidRPr="008971C0" w:rsidRDefault="00F27056">
      <w:pPr>
        <w:spacing w:after="40"/>
        <w:ind w:left="216"/>
      </w:pPr>
      <w:r w:rsidRPr="008971C0">
        <w:rPr>
          <w:rFonts w:ascii="Times New Roman" w:eastAsia="Times New Roman" w:hAnsi="Times New Roman"/>
          <w:sz w:val="20"/>
          <w:lang w:val="en-US"/>
        </w:rPr>
        <w:t xml:space="preserve">• #1 Do Val Lopes et al. </w:t>
      </w:r>
      <w:r w:rsidRPr="008971C0">
        <w:rPr>
          <w:rFonts w:ascii="Times New Roman" w:eastAsia="Times New Roman" w:hAnsi="Times New Roman"/>
          <w:sz w:val="20"/>
        </w:rPr>
        <w:t xml:space="preserve">(2026) – Acceso directo: https://doi.org/10.1145/3793653.3793774; </w:t>
      </w:r>
      <w:proofErr w:type="spellStart"/>
      <w:r w:rsidRPr="008971C0">
        <w:rPr>
          <w:rFonts w:ascii="Times New Roman" w:eastAsia="Times New Roman" w:hAnsi="Times New Roman"/>
          <w:sz w:val="20"/>
        </w:rPr>
        <w:t>Scopus</w:t>
      </w:r>
      <w:proofErr w:type="spellEnd"/>
      <w:r w:rsidRPr="008971C0">
        <w:rPr>
          <w:rFonts w:ascii="Times New Roman" w:eastAsia="Times New Roman" w:hAnsi="Times New Roman"/>
          <w:sz w:val="20"/>
        </w:rPr>
        <w:t>: https://www.scopus.com/pages/publications/105052340880</w:t>
      </w:r>
    </w:p>
    <w:p w:rsidR="00286C12" w:rsidRPr="008971C0" w:rsidRDefault="00F27056">
      <w:pPr>
        <w:spacing w:after="40"/>
        <w:ind w:left="216"/>
      </w:pPr>
      <w:r w:rsidRPr="008971C0">
        <w:rPr>
          <w:rFonts w:ascii="Times New Roman" w:eastAsia="Times New Roman" w:hAnsi="Times New Roman"/>
          <w:sz w:val="20"/>
        </w:rPr>
        <w:t>• #2 Alenezi et al. (2026) – Acceso directo: https://ijtech.eng.ui.ac.id/article/view/8380; Scopus: https://www.scopus.com/pages/publications/105046214271</w:t>
      </w:r>
    </w:p>
    <w:p w:rsidR="00286C12" w:rsidRPr="008971C0" w:rsidRDefault="00F27056">
      <w:pPr>
        <w:spacing w:after="40"/>
        <w:ind w:left="216"/>
      </w:pPr>
      <w:r w:rsidRPr="008971C0">
        <w:rPr>
          <w:rFonts w:ascii="Times New Roman" w:eastAsia="Times New Roman" w:hAnsi="Times New Roman"/>
          <w:sz w:val="20"/>
        </w:rPr>
        <w:t>• #3 Stein (2026) – Acceso directo: https://www.sciencedirect.com/science/article/pii/S187775032600044X; Scopus: https://www.scopus.com/pages/publications/105034631140</w:t>
      </w:r>
    </w:p>
    <w:p w:rsidR="00286C12" w:rsidRPr="008971C0" w:rsidRDefault="00F27056">
      <w:pPr>
        <w:spacing w:after="40"/>
        <w:ind w:left="216"/>
      </w:pPr>
      <w:r w:rsidRPr="008971C0">
        <w:rPr>
          <w:rFonts w:ascii="Times New Roman" w:eastAsia="Times New Roman" w:hAnsi="Times New Roman"/>
          <w:sz w:val="20"/>
        </w:rPr>
        <w:lastRenderedPageBreak/>
        <w:t>• #4 Kushnerov et al. (2026) – Acceso directo: https://doi.org/10.1109/ICHORA69329.2026.11537001; Scopus: https://www.scopus.com/pages/publications/105042030100</w:t>
      </w:r>
    </w:p>
    <w:p w:rsidR="00286C12" w:rsidRPr="008971C0" w:rsidRDefault="00F27056">
      <w:pPr>
        <w:spacing w:after="40"/>
        <w:ind w:left="216"/>
      </w:pPr>
      <w:r w:rsidRPr="008971C0">
        <w:rPr>
          <w:rFonts w:ascii="Times New Roman" w:eastAsia="Times New Roman" w:hAnsi="Times New Roman"/>
          <w:sz w:val="20"/>
        </w:rPr>
        <w:t>• #5 Siddhu et al. (2026) – Acceso directo: https://doi.org/10.1109/ICAISET66439.2026.11541931; Scopus: https://www.scopus.com/pages/publications/105042158521</w:t>
      </w:r>
    </w:p>
    <w:p w:rsidR="00286C12" w:rsidRPr="008971C0" w:rsidRDefault="00F27056">
      <w:pPr>
        <w:spacing w:after="40"/>
        <w:ind w:left="216"/>
      </w:pPr>
      <w:r w:rsidRPr="008971C0">
        <w:rPr>
          <w:rFonts w:ascii="Times New Roman" w:eastAsia="Times New Roman" w:hAnsi="Times New Roman"/>
          <w:sz w:val="20"/>
        </w:rPr>
        <w:t>• #6 Karuppuchamy (2026) – Acceso directo: https://ieeexplore.ieee.org/document/11475963; Scopus: https://www.scopus.com/pages/publications/105037800300</w:t>
      </w:r>
    </w:p>
    <w:p w:rsidR="00286C12" w:rsidRPr="008971C0" w:rsidRDefault="00F27056">
      <w:pPr>
        <w:spacing w:after="40"/>
        <w:ind w:left="216"/>
      </w:pPr>
      <w:r w:rsidRPr="008971C0">
        <w:rPr>
          <w:rFonts w:ascii="Times New Roman" w:eastAsia="Times New Roman" w:hAnsi="Times New Roman"/>
          <w:sz w:val="20"/>
        </w:rPr>
        <w:t>• #7 Enyedi (2026) – Acceso directo: https://doi.org/10.1109/AQTR70159.2026.11577868 (versión preliminar: https://arxiv.org/abs/2603.02512); Scopus: https://www.scopus.com/pages/publications/105045435826</w:t>
      </w:r>
    </w:p>
    <w:p w:rsidR="00286C12" w:rsidRPr="008971C0" w:rsidRDefault="00F27056">
      <w:pPr>
        <w:spacing w:after="40"/>
        <w:ind w:left="216"/>
      </w:pPr>
      <w:r w:rsidRPr="008971C0">
        <w:rPr>
          <w:rFonts w:ascii="Times New Roman" w:eastAsia="Times New Roman" w:hAnsi="Times New Roman"/>
          <w:sz w:val="20"/>
        </w:rPr>
        <w:t>• #8 Moraes et al. (2026) – Acceso directo: https://doi.org/10.5220/0014692300004018; Scopus: https://www.scopus.com/pages/publications/105044791237</w:t>
      </w:r>
    </w:p>
    <w:p w:rsidR="00286C12" w:rsidRPr="008971C0" w:rsidRDefault="00F27056">
      <w:pPr>
        <w:spacing w:after="40"/>
        <w:ind w:left="216"/>
      </w:pPr>
      <w:r w:rsidRPr="008971C0">
        <w:rPr>
          <w:rFonts w:ascii="Times New Roman" w:eastAsia="Times New Roman" w:hAnsi="Times New Roman"/>
          <w:sz w:val="20"/>
        </w:rPr>
        <w:t>• #9 Zeydan y Aydeger (2026) – Acceso directo: https://doi.org/10.1109/CCNC65079.2026.11366270; Scopus: https://www.scopus.com/pages/publications/105034149112</w:t>
      </w:r>
    </w:p>
    <w:p w:rsidR="00286C12" w:rsidRPr="008971C0" w:rsidRDefault="00F27056">
      <w:pPr>
        <w:spacing w:after="40"/>
        <w:ind w:left="216"/>
      </w:pPr>
      <w:r w:rsidRPr="008971C0">
        <w:rPr>
          <w:rFonts w:ascii="Times New Roman" w:eastAsia="Times New Roman" w:hAnsi="Times New Roman"/>
          <w:sz w:val="20"/>
        </w:rPr>
        <w:t>• #10 Joshi (2024) – Acceso directo: https://doi.org/10.1109/CSIT65290.2024.10982676; Scopus: https://www.scopus.com/pages/publications/105005829833</w:t>
      </w:r>
    </w:p>
    <w:p w:rsidR="00286C12" w:rsidRPr="008971C0" w:rsidRDefault="00F27056">
      <w:pPr>
        <w:spacing w:after="40"/>
        <w:ind w:left="216"/>
      </w:pPr>
      <w:r w:rsidRPr="008971C0">
        <w:rPr>
          <w:rFonts w:ascii="Times New Roman" w:eastAsia="Times New Roman" w:hAnsi="Times New Roman"/>
          <w:sz w:val="20"/>
        </w:rPr>
        <w:t>• Reserva (Tabla 1, #4) Bandeira et al. (2026) – Acceso directo: https://doi.org/10.1145/3774748.3795680; Scopus: https://www.scopus.com/pages/publications/105051355847</w:t>
      </w:r>
    </w:p>
    <w:p w:rsidR="00286C12" w:rsidRPr="008971C0" w:rsidRDefault="00F27056">
      <w:pPr>
        <w:spacing w:after="40"/>
        <w:ind w:left="216"/>
      </w:pPr>
      <w:r w:rsidRPr="008971C0">
        <w:rPr>
          <w:rFonts w:ascii="Times New Roman" w:eastAsia="Times New Roman" w:hAnsi="Times New Roman"/>
          <w:sz w:val="20"/>
        </w:rPr>
        <w:t>• Reserva (Tabla 1, #6) Elsisi et al. (2026) – Acceso directo: https://doi.org/10.1145/3803437.3805617; Scopus: https://www.scopus.com/pages/publications/105045840085</w:t>
      </w:r>
    </w:p>
    <w:p w:rsidR="00286C12" w:rsidRPr="008971C0" w:rsidRDefault="00286C12">
      <w:pPr>
        <w:spacing w:after="40"/>
        <w:ind w:left="216"/>
      </w:pPr>
    </w:p>
    <w:p w:rsidR="00C01733" w:rsidRPr="008971C0" w:rsidRDefault="00C01733" w:rsidP="00C01733">
      <w:pPr>
        <w:pStyle w:val="Ttulo1"/>
        <w:pageBreakBefore/>
        <w:numPr>
          <w:ilvl w:val="0"/>
          <w:numId w:val="15"/>
        </w:numPr>
        <w:spacing w:before="400" w:after="200"/>
        <w:ind w:hanging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971C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Diagrama de flujo PRISMA 2020 (PRISMA 2020 Flow Diagram)</w:t>
      </w:r>
    </w:p>
    <w:p w:rsidR="00286C12" w:rsidRPr="008971C0" w:rsidRDefault="00F27056">
      <w:pPr>
        <w:spacing w:after="120"/>
        <w:jc w:val="both"/>
      </w:pPr>
      <w:r w:rsidRPr="008971C0">
        <w:rPr>
          <w:rFonts w:ascii="Times New Roman" w:eastAsia="Times New Roman" w:hAnsi="Times New Roman"/>
        </w:rPr>
        <w:t>Diagrama elaborado con la plantilla oficial PRISMA 2020 para nuevas revisiones sistemáticas que incluyeron búsquedas en bases de datos y registros (Page et al., 2021), traducida al español. Sus fases (identificación; cribado, que incluye los informes buscados y evaluados para elegibilidad; e inclusión) tienen valores no vacíos y consistentes entre sí.</w:t>
      </w:r>
    </w:p>
    <w:p w:rsidR="00755F4E" w:rsidRPr="008971C0" w:rsidRDefault="00755F4E" w:rsidP="00755F4E"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B3C54CB" wp14:editId="148DB3B6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55F4E" w:rsidRPr="0041725F" w:rsidRDefault="00755F4E" w:rsidP="00755F4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41725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Identificación de estudios mediante bases de datos y registros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3C54CB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44.65pt;margin-top:5.85pt;width:342.15pt;height:20.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" fillcolor="#ffc000 [3207]" strokecolor="#7f5f00 [1607]" strokeweight="1pt">
                <v:textbox>
                  <w:txbxContent>
                    <w:p w:rsidR="00755F4E" w:rsidRPr="0041725F" w:rsidRDefault="00755F4E" w:rsidP="00755F4E">
                      <w:pPr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41725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Identificación de estudios mediante bases de datos y registros</w:t>
                      </w:r>
                    </w:p>
                  </w:txbxContent>
                </v:textbox>
              </v:shape>
            </w:pict>
          </mc:Fallback>
        </mc:AlternateContent>
      </w:r>
    </w:p>
    <w:p w:rsidR="00755F4E" w:rsidRPr="008971C0" w:rsidRDefault="00755F4E" w:rsidP="00755F4E"/>
    <w:p w:rsidR="00755F4E" w:rsidRPr="008971C0" w:rsidRDefault="00755F4E" w:rsidP="00755F4E"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33F6EE" wp14:editId="3394C993">
                <wp:simplePos x="0" y="0"/>
                <wp:positionH relativeFrom="column">
                  <wp:posOffset>3039466</wp:posOffset>
                </wp:positionH>
                <wp:positionV relativeFrom="paragraph">
                  <wp:posOffset>77064</wp:posOffset>
                </wp:positionV>
                <wp:extent cx="1887220" cy="1242999"/>
                <wp:effectExtent l="0" t="0" r="17780" b="14605"/>
                <wp:wrapNone/>
                <wp:docPr id="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29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55F4E" w:rsidRPr="00755F4E" w:rsidRDefault="00755F4E" w:rsidP="00755F4E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Registros eliminados antes del cribado:</w:t>
                            </w:r>
                          </w:p>
                          <w:p w:rsidR="00755F4E" w:rsidRPr="00755F4E" w:rsidRDefault="00755F4E" w:rsidP="00755F4E">
                            <w:pPr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Duplicados (n = 0)</w:t>
                            </w:r>
                          </w:p>
                          <w:p w:rsidR="00755F4E" w:rsidRPr="00755F4E" w:rsidRDefault="00755F4E" w:rsidP="00755F4E">
                            <w:pPr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Marcados como no elegibles por automatización (n = 0)</w:t>
                            </w:r>
                          </w:p>
                          <w:p w:rsidR="00755F4E" w:rsidRPr="00755F4E" w:rsidRDefault="00755F4E" w:rsidP="00755F4E">
                            <w:pPr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Eliminados por otras razones (n = 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33F6EE" id="Rectangle 2" o:spid="_x0000_s1027" style="position:absolute;margin-left:239.35pt;margin-top:6.05pt;width:148.6pt;height:97.8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" filled="f" strokecolor="black [3213]" strokeweight="1pt">
                <v:textbox>
                  <w:txbxContent>
                    <w:p w:rsidR="00755F4E" w:rsidRPr="00755F4E" w:rsidRDefault="00755F4E" w:rsidP="00755F4E">
                      <w:pP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Registros eliminados antes del cribado:</w:t>
                      </w:r>
                    </w:p>
                    <w:p w:rsidR="00755F4E" w:rsidRPr="00755F4E" w:rsidRDefault="00755F4E" w:rsidP="00755F4E">
                      <w:pPr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Duplicados (n = 0)</w:t>
                      </w:r>
                    </w:p>
                    <w:p w:rsidR="00755F4E" w:rsidRPr="00755F4E" w:rsidRDefault="00755F4E" w:rsidP="00755F4E">
                      <w:pPr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Marcados como no elegibles por automatización (n = 0)</w:t>
                      </w:r>
                    </w:p>
                    <w:p w:rsidR="00755F4E" w:rsidRPr="00755F4E" w:rsidRDefault="00755F4E" w:rsidP="00755F4E">
                      <w:pPr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Eliminados por otras razones (n = 0)</w:t>
                      </w:r>
                    </w:p>
                  </w:txbxContent>
                </v:textbox>
              </v:rect>
            </w:pict>
          </mc:Fallback>
        </mc:AlternateContent>
      </w:r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E05E052" wp14:editId="727B9469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55F4E" w:rsidRPr="0041725F" w:rsidRDefault="00755F4E" w:rsidP="00755F4E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41725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Registros identificados desde:</w:t>
                            </w:r>
                          </w:p>
                          <w:p w:rsidR="00755F4E" w:rsidRPr="0041725F" w:rsidRDefault="00755F4E" w:rsidP="00755F4E">
                            <w:pPr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41725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Scopus (n = 21)</w:t>
                            </w:r>
                          </w:p>
                          <w:p w:rsidR="00755F4E" w:rsidRPr="00755F4E" w:rsidRDefault="00755F4E" w:rsidP="00755F4E">
                            <w:pPr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Semantic Scholar (n = 2)</w:t>
                            </w:r>
                          </w:p>
                          <w:p w:rsidR="00755F4E" w:rsidRPr="00755F4E" w:rsidRDefault="00755F4E" w:rsidP="00755F4E">
                            <w:pPr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ALICIA–CONCYTEC (n = 0)</w:t>
                            </w:r>
                          </w:p>
                          <w:p w:rsidR="00755F4E" w:rsidRPr="00755F4E" w:rsidRDefault="00755F4E" w:rsidP="00755F4E">
                            <w:pPr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RENATI–SUNEDU (n = 0)</w:t>
                            </w:r>
                          </w:p>
                          <w:p w:rsidR="00755F4E" w:rsidRPr="00560609" w:rsidRDefault="00755F4E" w:rsidP="00755F4E">
                            <w:pPr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Total (n = 23)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05E052" id="Rectangle 1" o:spid="_x0000_s1028" style="position:absolute;margin-left:44.05pt;margin-top:6.05pt;width:148.6pt;height:97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" filled="f" strokecolor="black [3213]" strokeweight="1pt">
                <v:textbox>
                  <w:txbxContent>
                    <w:p w:rsidR="00755F4E" w:rsidRPr="0041725F" w:rsidRDefault="00755F4E" w:rsidP="00755F4E">
                      <w:pP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41725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Registros identificados desde:</w:t>
                      </w:r>
                    </w:p>
                    <w:p w:rsidR="00755F4E" w:rsidRPr="0041725F" w:rsidRDefault="00755F4E" w:rsidP="00755F4E">
                      <w:pPr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proofErr w:type="spellStart"/>
                      <w:r w:rsidRPr="0041725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Scopus</w:t>
                      </w:r>
                      <w:proofErr w:type="spellEnd"/>
                      <w:r w:rsidRPr="0041725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(n = 21)</w:t>
                      </w:r>
                    </w:p>
                    <w:p w:rsidR="00755F4E" w:rsidRPr="00755F4E" w:rsidRDefault="00755F4E" w:rsidP="00755F4E">
                      <w:pPr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Semantic Scholar (n = 2)</w:t>
                      </w:r>
                    </w:p>
                    <w:p w:rsidR="00755F4E" w:rsidRPr="00755F4E" w:rsidRDefault="00755F4E" w:rsidP="00755F4E">
                      <w:pPr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ALICIA–CONCYTEC (n = 0)</w:t>
                      </w:r>
                    </w:p>
                    <w:p w:rsidR="00755F4E" w:rsidRPr="00755F4E" w:rsidRDefault="00755F4E" w:rsidP="00755F4E">
                      <w:pPr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RENATI–SUNEDU (n = 0)</w:t>
                      </w:r>
                    </w:p>
                    <w:p w:rsidR="00755F4E" w:rsidRPr="00560609" w:rsidRDefault="00755F4E" w:rsidP="00755F4E">
                      <w:pPr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Total (n = 23)</w:t>
                      </w:r>
                    </w:p>
                  </w:txbxContent>
                </v:textbox>
              </v:rect>
            </w:pict>
          </mc:Fallback>
        </mc:AlternateContent>
      </w:r>
    </w:p>
    <w:p w:rsidR="00755F4E" w:rsidRPr="008971C0" w:rsidRDefault="00755F4E" w:rsidP="00755F4E"/>
    <w:p w:rsidR="00755F4E" w:rsidRPr="008971C0" w:rsidRDefault="00755F4E" w:rsidP="00755F4E"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9F96C45" wp14:editId="40BB4ABD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55F4E" w:rsidRPr="001502CF" w:rsidRDefault="00755F4E" w:rsidP="00755F4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F96C45" id="Flowchart: Alternate Process 31" o:spid="_x0000_s1029" type="#_x0000_t176" style="position:absolute;margin-left:-31.8pt;margin-top:17.5pt;width:100.55pt;height:20.7pt;rotation:-90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" fillcolor="#9cc2e5 [1944]" strokecolor="black [3213]" strokeweight="1pt">
                <v:textbox>
                  <w:txbxContent>
                    <w:p w:rsidR="00755F4E" w:rsidRPr="001502CF" w:rsidRDefault="00755F4E" w:rsidP="00755F4E">
                      <w:pPr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Identificación</w:t>
                      </w:r>
                    </w:p>
                  </w:txbxContent>
                </v:textbox>
              </v:shape>
            </w:pict>
          </mc:Fallback>
        </mc:AlternateContent>
      </w:r>
    </w:p>
    <w:p w:rsidR="00755F4E" w:rsidRPr="008971C0" w:rsidRDefault="00755F4E" w:rsidP="00755F4E"/>
    <w:p w:rsidR="00755F4E" w:rsidRPr="008971C0" w:rsidRDefault="00755F4E" w:rsidP="00755F4E"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C2F0CEC" wp14:editId="640FB8E3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9CC84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:rsidR="00755F4E" w:rsidRPr="008971C0" w:rsidRDefault="00755F4E" w:rsidP="00755F4E"/>
    <w:p w:rsidR="00755F4E" w:rsidRPr="008971C0" w:rsidRDefault="00755F4E" w:rsidP="00755F4E"/>
    <w:p w:rsidR="00755F4E" w:rsidRPr="008971C0" w:rsidRDefault="00755F4E" w:rsidP="00755F4E"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A34BFBF" wp14:editId="64ACCFB6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4E7873" id="Straight Arrow Connector 27" o:spid="_x0000_s1026" type="#_x0000_t32" style="position:absolute;margin-left:110.25pt;margin-top:10.15pt;width:0;height:22.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strokecolor="black [3213]" strokeweight=".5pt">
                <v:stroke endarrow="block" joinstyle="miter"/>
              </v:shape>
            </w:pict>
          </mc:Fallback>
        </mc:AlternateContent>
      </w:r>
    </w:p>
    <w:p w:rsidR="00755F4E" w:rsidRPr="008971C0" w:rsidRDefault="00755F4E" w:rsidP="00755F4E"/>
    <w:p w:rsidR="00755F4E" w:rsidRPr="008971C0" w:rsidRDefault="00755F4E" w:rsidP="00755F4E"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A086DE" wp14:editId="1F62F16E">
                <wp:simplePos x="0" y="0"/>
                <wp:positionH relativeFrom="column">
                  <wp:posOffset>558800</wp:posOffset>
                </wp:positionH>
                <wp:positionV relativeFrom="paragraph">
                  <wp:posOffset>76200</wp:posOffset>
                </wp:positionV>
                <wp:extent cx="1887220" cy="609600"/>
                <wp:effectExtent l="0" t="0" r="17780" b="19050"/>
                <wp:wrapNone/>
                <wp:docPr id="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609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55F4E" w:rsidRPr="00755F4E" w:rsidRDefault="00755F4E" w:rsidP="00755F4E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Registros cribados</w:t>
                            </w:r>
                          </w:p>
                          <w:p w:rsidR="00755F4E" w:rsidRPr="00560609" w:rsidRDefault="00755F4E" w:rsidP="00755F4E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(título/metadatos) (n = 23)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A086DE" id="Rectangle 3" o:spid="_x0000_s1030" style="position:absolute;margin-left:44pt;margin-top:6pt;width:148.6pt;height:4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" filled="f" strokecolor="black [3213]" strokeweight="1pt">
                <v:textbox>
                  <w:txbxContent>
                    <w:p w:rsidR="00755F4E" w:rsidRPr="00755F4E" w:rsidRDefault="00755F4E" w:rsidP="00755F4E">
                      <w:pP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Registros cribados</w:t>
                      </w:r>
                    </w:p>
                    <w:p w:rsidR="00755F4E" w:rsidRPr="00560609" w:rsidRDefault="00755F4E" w:rsidP="00755F4E">
                      <w:pP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(título/metadatos) (n = 23)</w:t>
                      </w:r>
                    </w:p>
                  </w:txbxContent>
                </v:textbox>
              </v:rect>
            </w:pict>
          </mc:Fallback>
        </mc:AlternateContent>
      </w:r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1D4D4DD" wp14:editId="4CF6FC33">
                <wp:simplePos x="0" y="0"/>
                <wp:positionH relativeFrom="column">
                  <wp:posOffset>3048000</wp:posOffset>
                </wp:positionH>
                <wp:positionV relativeFrom="paragraph">
                  <wp:posOffset>76200</wp:posOffset>
                </wp:positionV>
                <wp:extent cx="1887220" cy="635000"/>
                <wp:effectExtent l="0" t="0" r="17780" b="12700"/>
                <wp:wrapNone/>
                <wp:docPr id="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635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55F4E" w:rsidRPr="00755F4E" w:rsidRDefault="00755F4E" w:rsidP="00755F4E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Registros excluidos (n = 13)</w:t>
                            </w:r>
                          </w:p>
                          <w:p w:rsidR="00755F4E" w:rsidRPr="00755F4E" w:rsidRDefault="00755F4E" w:rsidP="00755F4E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Excluidos por criterios (n = 9)</w:t>
                            </w:r>
                          </w:p>
                          <w:p w:rsidR="00755F4E" w:rsidRPr="00560609" w:rsidRDefault="00755F4E" w:rsidP="00755F4E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En reserva, pendientes de verificar el resumen (n = 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D4D4DD" id="Rectangle 4" o:spid="_x0000_s1031" style="position:absolute;margin-left:240pt;margin-top:6pt;width:148.6pt;height:5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" filled="f" strokecolor="black [3213]" strokeweight="1pt">
                <v:textbox>
                  <w:txbxContent>
                    <w:p w:rsidR="00755F4E" w:rsidRPr="00755F4E" w:rsidRDefault="00755F4E" w:rsidP="00755F4E">
                      <w:pP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Registros excluidos (n = 13)</w:t>
                      </w:r>
                    </w:p>
                    <w:p w:rsidR="00755F4E" w:rsidRPr="00755F4E" w:rsidRDefault="00755F4E" w:rsidP="00755F4E">
                      <w:pP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Excluidos por criterios (n = 9)</w:t>
                      </w:r>
                    </w:p>
                    <w:p w:rsidR="00755F4E" w:rsidRPr="00560609" w:rsidRDefault="00755F4E" w:rsidP="00755F4E">
                      <w:pP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En reserva, pendientes de verificar el resumen (n = 4)</w:t>
                      </w:r>
                    </w:p>
                  </w:txbxContent>
                </v:textbox>
              </v:rect>
            </w:pict>
          </mc:Fallback>
        </mc:AlternateContent>
      </w:r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4A96457" wp14:editId="017B34AD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B10A7C" id="Straight Arrow Connector 15" o:spid="_x0000_s1026" type="#_x0000_t32" style="position:absolute;margin-left:193.2pt;margin-top:25.85pt;width:44.35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" strokecolor="black [3213]" strokeweight=".5pt">
                <v:stroke endarrow="block" joinstyle="miter"/>
              </v:shape>
            </w:pict>
          </mc:Fallback>
        </mc:AlternateContent>
      </w:r>
    </w:p>
    <w:p w:rsidR="00755F4E" w:rsidRPr="008971C0" w:rsidRDefault="00755F4E" w:rsidP="00755F4E"/>
    <w:p w:rsidR="00755F4E" w:rsidRPr="008971C0" w:rsidRDefault="00755F4E" w:rsidP="00755F4E"/>
    <w:p w:rsidR="00755F4E" w:rsidRPr="008971C0" w:rsidRDefault="00755F4E" w:rsidP="00755F4E"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A36092B" wp14:editId="460A8BE4">
                <wp:simplePos x="0" y="0"/>
                <wp:positionH relativeFrom="column">
                  <wp:posOffset>1400175</wp:posOffset>
                </wp:positionH>
                <wp:positionV relativeFrom="paragraph">
                  <wp:posOffset>99695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D4B183" id="Straight Arrow Connector 35" o:spid="_x0000_s1026" type="#_x0000_t32" style="position:absolute;margin-left:110.25pt;margin-top:7.85pt;width:0;height:22.1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" strokecolor="black [3213]" strokeweight=".5pt">
                <v:stroke endarrow="block" joinstyle="miter"/>
              </v:shape>
            </w:pict>
          </mc:Fallback>
        </mc:AlternateContent>
      </w:r>
    </w:p>
    <w:p w:rsidR="00755F4E" w:rsidRPr="008971C0" w:rsidRDefault="00755F4E" w:rsidP="00755F4E"/>
    <w:p w:rsidR="00755F4E" w:rsidRPr="008971C0" w:rsidRDefault="00755F4E" w:rsidP="00755F4E"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DA5786E" wp14:editId="7009DC30">
                <wp:simplePos x="0" y="0"/>
                <wp:positionH relativeFrom="column">
                  <wp:posOffset>560705</wp:posOffset>
                </wp:positionH>
                <wp:positionV relativeFrom="paragraph">
                  <wp:posOffset>47625</wp:posOffset>
                </wp:positionV>
                <wp:extent cx="1887220" cy="526415"/>
                <wp:effectExtent l="0" t="0" r="17780" b="26035"/>
                <wp:wrapNone/>
                <wp:docPr id="6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55F4E" w:rsidRPr="00755F4E" w:rsidRDefault="00755F4E" w:rsidP="00755F4E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Informes buscados para</w:t>
                            </w:r>
                          </w:p>
                          <w:p w:rsidR="00755F4E" w:rsidRPr="00755F4E" w:rsidRDefault="00755F4E" w:rsidP="00755F4E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recuperación (n = 10)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A5786E" id="Rectangle 5" o:spid="_x0000_s1032" style="position:absolute;margin-left:44.15pt;margin-top:3.75pt;width:148.6pt;height:41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" filled="f" strokecolor="black [3213]" strokeweight="1pt">
                <v:textbox>
                  <w:txbxContent>
                    <w:p w:rsidR="00755F4E" w:rsidRPr="00755F4E" w:rsidRDefault="00755F4E" w:rsidP="00755F4E">
                      <w:pP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Informes buscados para</w:t>
                      </w:r>
                    </w:p>
                    <w:p w:rsidR="00755F4E" w:rsidRPr="00755F4E" w:rsidRDefault="00755F4E" w:rsidP="00755F4E">
                      <w:pP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recuperación (n = 10)</w:t>
                      </w:r>
                    </w:p>
                  </w:txbxContent>
                </v:textbox>
              </v:rect>
            </w:pict>
          </mc:Fallback>
        </mc:AlternateContent>
      </w:r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5512189" wp14:editId="54806799">
                <wp:simplePos x="0" y="0"/>
                <wp:positionH relativeFrom="column">
                  <wp:posOffset>2463165</wp:posOffset>
                </wp:positionH>
                <wp:positionV relativeFrom="paragraph">
                  <wp:posOffset>320675</wp:posOffset>
                </wp:positionV>
                <wp:extent cx="563245" cy="0"/>
                <wp:effectExtent l="0" t="76200" r="27305" b="952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D8EB46" id="Straight Arrow Connector 16" o:spid="_x0000_s1026" type="#_x0000_t32" style="position:absolute;margin-left:193.95pt;margin-top:25.25pt;width:44.35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" strokecolor="black [3213]" strokeweight=".5pt">
                <v:stroke endarrow="block" joinstyle="miter"/>
              </v:shape>
            </w:pict>
          </mc:Fallback>
        </mc:AlternateContent>
      </w:r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D1348D3" wp14:editId="47DDA43D">
                <wp:simplePos x="0" y="0"/>
                <wp:positionH relativeFrom="column">
                  <wp:posOffset>3049270</wp:posOffset>
                </wp:positionH>
                <wp:positionV relativeFrom="paragraph">
                  <wp:posOffset>66675</wp:posOffset>
                </wp:positionV>
                <wp:extent cx="1887220" cy="526415"/>
                <wp:effectExtent l="0" t="0" r="17780" b="26035"/>
                <wp:wrapNone/>
                <wp:docPr id="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55F4E" w:rsidRPr="00560609" w:rsidRDefault="00755F4E" w:rsidP="00755F4E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Informes no recuperados (n = 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1348D3" id="Rectangle 6" o:spid="_x0000_s1033" style="position:absolute;margin-left:240.1pt;margin-top:5.25pt;width:148.6pt;height:41.4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" filled="f" strokecolor="black [3213]" strokeweight="1pt">
                <v:textbox>
                  <w:txbxContent>
                    <w:p w:rsidR="00755F4E" w:rsidRPr="00560609" w:rsidRDefault="00755F4E" w:rsidP="00755F4E">
                      <w:pP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Informes no recuperados (n = 0)</w:t>
                      </w:r>
                    </w:p>
                  </w:txbxContent>
                </v:textbox>
              </v:rect>
            </w:pict>
          </mc:Fallback>
        </mc:AlternateContent>
      </w:r>
    </w:p>
    <w:p w:rsidR="00755F4E" w:rsidRPr="008971C0" w:rsidRDefault="00755F4E" w:rsidP="00755F4E"/>
    <w:p w:rsidR="00755F4E" w:rsidRPr="008971C0" w:rsidRDefault="00755F4E" w:rsidP="00755F4E"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CF28CFB" wp14:editId="20174457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55F4E" w:rsidRDefault="00755F4E" w:rsidP="00755F4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Cribado</w:t>
                            </w:r>
                          </w:p>
                          <w:p w:rsidR="00755F4E" w:rsidRPr="001502CF" w:rsidRDefault="00755F4E" w:rsidP="00755F4E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F28CFB" id="Flowchart: Alternate Process 32" o:spid="_x0000_s1034" type="#_x0000_t176" style="position:absolute;margin-left:-91.4pt;margin-top:11.05pt;width:219.5pt;height:20.7pt;rotation:-90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" fillcolor="#9cc2e5 [1944]" strokecolor="black [3213]" strokeweight="1pt">
                <v:textbox>
                  <w:txbxContent>
                    <w:p w:rsidR="00755F4E" w:rsidRDefault="00755F4E" w:rsidP="00755F4E">
                      <w:pPr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Cribado</w:t>
                      </w:r>
                    </w:p>
                    <w:p w:rsidR="00755F4E" w:rsidRPr="001502CF" w:rsidRDefault="00755F4E" w:rsidP="00755F4E">
                      <w:pP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755F4E" w:rsidRPr="008971C0" w:rsidRDefault="00755F4E" w:rsidP="00755F4E"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7A57833" wp14:editId="62011803">
                <wp:simplePos x="0" y="0"/>
                <wp:positionH relativeFrom="column">
                  <wp:posOffset>1409700</wp:posOffset>
                </wp:positionH>
                <wp:positionV relativeFrom="paragraph">
                  <wp:posOffset>56515</wp:posOffset>
                </wp:positionV>
                <wp:extent cx="0" cy="281305"/>
                <wp:effectExtent l="76200" t="0" r="57150" b="6159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57E7D5" id="Straight Arrow Connector 36" o:spid="_x0000_s1026" type="#_x0000_t32" style="position:absolute;margin-left:111pt;margin-top:4.45pt;width:0;height:22.1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:rsidR="00755F4E" w:rsidRPr="008971C0" w:rsidRDefault="00755F4E" w:rsidP="00755F4E"/>
    <w:p w:rsidR="00755F4E" w:rsidRPr="008971C0" w:rsidRDefault="00755F4E" w:rsidP="00755F4E"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F0322F9" wp14:editId="16619C47">
                <wp:simplePos x="0" y="0"/>
                <wp:positionH relativeFrom="column">
                  <wp:posOffset>2476500</wp:posOffset>
                </wp:positionH>
                <wp:positionV relativeFrom="paragraph">
                  <wp:posOffset>294640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EE31E9" id="Straight Arrow Connector 17" o:spid="_x0000_s1026" type="#_x0000_t32" style="position:absolute;margin-left:195pt;margin-top:23.2pt;width:44.35pt;height:0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" strokecolor="black [3213]" strokeweight=".5pt">
                <v:stroke endarrow="block" joinstyle="miter"/>
              </v:shape>
            </w:pict>
          </mc:Fallback>
        </mc:AlternateContent>
      </w:r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9B4FFE6" wp14:editId="6FC9E58E">
                <wp:simplePos x="0" y="0"/>
                <wp:positionH relativeFrom="column">
                  <wp:posOffset>561975</wp:posOffset>
                </wp:positionH>
                <wp:positionV relativeFrom="paragraph">
                  <wp:posOffset>13335</wp:posOffset>
                </wp:positionV>
                <wp:extent cx="1887220" cy="526415"/>
                <wp:effectExtent l="0" t="0" r="17780" b="260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55F4E" w:rsidRPr="00755F4E" w:rsidRDefault="00755F4E" w:rsidP="00755F4E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Informes evaluados para</w:t>
                            </w:r>
                          </w:p>
                          <w:p w:rsidR="00755F4E" w:rsidRPr="00755F4E" w:rsidRDefault="00755F4E" w:rsidP="00755F4E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elegibilidad (n = 10)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B4FFE6" id="Rectangle 8" o:spid="_x0000_s1035" style="position:absolute;margin-left:44.25pt;margin-top:1.05pt;width:148.6pt;height:41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" filled="f" strokecolor="black [3213]" strokeweight="1pt">
                <v:textbox>
                  <w:txbxContent>
                    <w:p w:rsidR="00755F4E" w:rsidRPr="00755F4E" w:rsidRDefault="00755F4E" w:rsidP="00755F4E">
                      <w:pP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Informes evaluados para</w:t>
                      </w:r>
                    </w:p>
                    <w:p w:rsidR="00755F4E" w:rsidRPr="00755F4E" w:rsidRDefault="00755F4E" w:rsidP="00755F4E">
                      <w:pP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elegibilidad (n = 10)</w:t>
                      </w:r>
                    </w:p>
                  </w:txbxContent>
                </v:textbox>
              </v:rect>
            </w:pict>
          </mc:Fallback>
        </mc:AlternateContent>
      </w:r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F7871F9" wp14:editId="3AB91AD3">
                <wp:simplePos x="0" y="0"/>
                <wp:positionH relativeFrom="column">
                  <wp:posOffset>3057525</wp:posOffset>
                </wp:positionH>
                <wp:positionV relativeFrom="paragraph">
                  <wp:posOffset>10795</wp:posOffset>
                </wp:positionV>
                <wp:extent cx="1887220" cy="1133475"/>
                <wp:effectExtent l="0" t="0" r="17780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133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55F4E" w:rsidRPr="00755F4E" w:rsidRDefault="00755F4E" w:rsidP="00755F4E">
                            <w:pPr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Informes excluidos (n = 0)</w:t>
                            </w:r>
                          </w:p>
                          <w:p w:rsidR="00755F4E" w:rsidRPr="00755F4E" w:rsidRDefault="00755F4E" w:rsidP="00755F4E">
                            <w:pPr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Razones: no aplica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7871F9" id="Rectangle 9" o:spid="_x0000_s1036" style="position:absolute;margin-left:240.75pt;margin-top:.85pt;width:148.6pt;height:89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" filled="f" strokecolor="black [3213]" strokeweight="1pt">
                <v:textbox>
                  <w:txbxContent>
                    <w:p w:rsidR="00755F4E" w:rsidRPr="00755F4E" w:rsidRDefault="00755F4E" w:rsidP="00755F4E">
                      <w:pPr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Informes excluidos (n = 0)</w:t>
                      </w:r>
                    </w:p>
                    <w:p w:rsidR="00755F4E" w:rsidRPr="00755F4E" w:rsidRDefault="00755F4E" w:rsidP="00755F4E">
                      <w:pPr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Razones: no aplica</w:t>
                      </w:r>
                    </w:p>
                  </w:txbxContent>
                </v:textbox>
              </v:rect>
            </w:pict>
          </mc:Fallback>
        </mc:AlternateContent>
      </w:r>
    </w:p>
    <w:p w:rsidR="00755F4E" w:rsidRPr="008971C0" w:rsidRDefault="00755F4E" w:rsidP="00755F4E"/>
    <w:p w:rsidR="00755F4E" w:rsidRPr="008971C0" w:rsidRDefault="00755F4E" w:rsidP="00755F4E"/>
    <w:p w:rsidR="00755F4E" w:rsidRPr="008971C0" w:rsidRDefault="00755F4E" w:rsidP="00755F4E"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A46E16C" wp14:editId="3C42E518">
                <wp:simplePos x="0" y="0"/>
                <wp:positionH relativeFrom="column">
                  <wp:posOffset>1400861</wp:posOffset>
                </wp:positionH>
                <wp:positionV relativeFrom="paragraph">
                  <wp:posOffset>29667</wp:posOffset>
                </wp:positionV>
                <wp:extent cx="0" cy="746151"/>
                <wp:effectExtent l="76200" t="0" r="57150" b="539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61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8D4377" id="Straight Arrow Connector 19" o:spid="_x0000_s1026" type="#_x0000_t32" style="position:absolute;margin-left:110.3pt;margin-top:2.35pt;width:0;height:58.7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" strokecolor="black [3213]" strokeweight=".5pt">
                <v:stroke endarrow="block" joinstyle="miter"/>
              </v:shape>
            </w:pict>
          </mc:Fallback>
        </mc:AlternateContent>
      </w:r>
    </w:p>
    <w:p w:rsidR="00755F4E" w:rsidRPr="008971C0" w:rsidRDefault="00755F4E" w:rsidP="00755F4E"/>
    <w:p w:rsidR="00755F4E" w:rsidRPr="008971C0" w:rsidRDefault="00755F4E" w:rsidP="00755F4E"/>
    <w:p w:rsidR="00755F4E" w:rsidRPr="008971C0" w:rsidRDefault="00755F4E" w:rsidP="00755F4E"/>
    <w:p w:rsidR="00755F4E" w:rsidRPr="008971C0" w:rsidRDefault="00755F4E" w:rsidP="00755F4E"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D5BA308" wp14:editId="6F8A5786">
                <wp:simplePos x="0" y="0"/>
                <wp:positionH relativeFrom="column">
                  <wp:posOffset>540385</wp:posOffset>
                </wp:positionH>
                <wp:positionV relativeFrom="paragraph">
                  <wp:posOffset>110795</wp:posOffset>
                </wp:positionV>
                <wp:extent cx="1887220" cy="723900"/>
                <wp:effectExtent l="0" t="0" r="17780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23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55F4E" w:rsidRPr="00755F4E" w:rsidRDefault="00755F4E" w:rsidP="00755F4E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Estudios incluidos</w:t>
                            </w:r>
                          </w:p>
                          <w:p w:rsidR="00755F4E" w:rsidRPr="00755F4E" w:rsidRDefault="00755F4E" w:rsidP="00755F4E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755F4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en la revisión (n = 10)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5BA308" id="Rectangle 13" o:spid="_x0000_s1037" style="position:absolute;margin-left:42.55pt;margin-top:8.7pt;width:148.6pt;height:5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" filled="f" strokecolor="black [3213]" strokeweight="1pt">
                <v:textbox>
                  <w:txbxContent>
                    <w:p w:rsidR="00755F4E" w:rsidRPr="00755F4E" w:rsidRDefault="00755F4E" w:rsidP="00755F4E">
                      <w:pP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Estudios incluidos</w:t>
                      </w:r>
                    </w:p>
                    <w:p w:rsidR="00755F4E" w:rsidRPr="00755F4E" w:rsidRDefault="00755F4E" w:rsidP="00755F4E">
                      <w:pP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755F4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en la revisión (n = 10)</w:t>
                      </w:r>
                    </w:p>
                  </w:txbxContent>
                </v:textbox>
              </v:rect>
            </w:pict>
          </mc:Fallback>
        </mc:AlternateContent>
      </w:r>
    </w:p>
    <w:p w:rsidR="00755F4E" w:rsidRPr="008971C0" w:rsidRDefault="00755F4E" w:rsidP="00755F4E">
      <w:r w:rsidRPr="008971C0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4CA5FE" wp14:editId="7C88D3EA">
                <wp:simplePos x="0" y="0"/>
                <wp:positionH relativeFrom="column">
                  <wp:posOffset>-133509</wp:posOffset>
                </wp:positionH>
                <wp:positionV relativeFrom="paragraph">
                  <wp:posOffset>170656</wp:posOffset>
                </wp:positionV>
                <wp:extent cx="764223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4223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55F4E" w:rsidRPr="001502CF" w:rsidRDefault="00755F4E" w:rsidP="00755F4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Incluidos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CA5FE" id="Flowchart: Alternate Process 33" o:spid="_x0000_s1038" type="#_x0000_t176" style="position:absolute;margin-left:-10.5pt;margin-top:13.45pt;width:60.2pt;height:20.7pt;rotation:-90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" fillcolor="#9cc2e5 [1944]" strokecolor="black [3213]" strokeweight="1pt">
                <v:textbox>
                  <w:txbxContent>
                    <w:p w:rsidR="00755F4E" w:rsidRPr="001502CF" w:rsidRDefault="00755F4E" w:rsidP="00755F4E">
                      <w:pPr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Incluidos</w:t>
                      </w:r>
                    </w:p>
                  </w:txbxContent>
                </v:textbox>
              </v:shape>
            </w:pict>
          </mc:Fallback>
        </mc:AlternateContent>
      </w:r>
    </w:p>
    <w:p w:rsidR="00755F4E" w:rsidRPr="008971C0" w:rsidRDefault="00755F4E" w:rsidP="00755F4E"/>
    <w:p w:rsidR="00755F4E" w:rsidRPr="008971C0" w:rsidRDefault="00755F4E" w:rsidP="00755F4E"/>
    <w:p w:rsidR="00755F4E" w:rsidRPr="008971C0" w:rsidRDefault="00755F4E" w:rsidP="00755F4E"/>
    <w:p w:rsidR="00755F4E" w:rsidRPr="008971C0" w:rsidRDefault="00755F4E" w:rsidP="00755F4E"/>
    <w:p w:rsidR="00F27056" w:rsidRPr="008971C0" w:rsidRDefault="00F27056" w:rsidP="00F27056">
      <w:pPr>
        <w:spacing w:before="160" w:after="160"/>
        <w:jc w:val="center"/>
      </w:pPr>
      <w:r w:rsidRPr="008971C0">
        <w:rPr>
          <w:rFonts w:ascii="Times New Roman" w:eastAsia="Times New Roman" w:hAnsi="Times New Roman"/>
          <w:i/>
          <w:sz w:val="19"/>
        </w:rPr>
        <w:t xml:space="preserve">Figura 1. Diagrama de flujo PRISMA 2020 de la mini revisión sistemática. Fuente: elaboración propia, adaptado de Page et al. </w:t>
      </w:r>
    </w:p>
    <w:p w:rsidR="00286C12" w:rsidRPr="008971C0" w:rsidRDefault="00286C12">
      <w:pPr>
        <w:spacing w:after="120"/>
        <w:jc w:val="both"/>
      </w:pPr>
    </w:p>
    <w:p w:rsidR="00C01733" w:rsidRPr="008971C0" w:rsidRDefault="00C01733" w:rsidP="00C01733">
      <w:pPr>
        <w:pStyle w:val="Ttulo1"/>
        <w:pageBreakBefore/>
        <w:numPr>
          <w:ilvl w:val="0"/>
          <w:numId w:val="15"/>
        </w:numPr>
        <w:spacing w:before="400" w:after="200"/>
        <w:ind w:hanging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971C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Tabla de análisis de brechas (Gap Analysis Table)</w:t>
      </w:r>
    </w:p>
    <w:p w:rsidR="00C01733" w:rsidRPr="008971C0" w:rsidRDefault="00C01733" w:rsidP="00C01733">
      <w:pPr>
        <w:pStyle w:val="Ttulo1"/>
        <w:spacing w:before="400" w:after="200"/>
        <w:rPr>
          <w:rFonts w:ascii="Times New Roman" w:hAnsi="Times New Roman" w:cs="Times New Roman"/>
          <w:color w:val="auto"/>
          <w:sz w:val="22"/>
          <w:szCs w:val="22"/>
        </w:rPr>
      </w:pPr>
      <w:r w:rsidRPr="008971C0">
        <w:rPr>
          <w:rFonts w:ascii="Times New Roman" w:hAnsi="Times New Roman" w:cs="Times New Roman"/>
          <w:color w:val="auto"/>
          <w:sz w:val="22"/>
          <w:szCs w:val="22"/>
        </w:rPr>
        <w:t>Al menos un gap candidato por tipo (conocimiento · metodológico · contextual · teórico), con una cita como evidencia.</w:t>
      </w:r>
    </w:p>
    <w:p w:rsidR="00286C12" w:rsidRPr="008971C0" w:rsidRDefault="00F27056">
      <w:pPr>
        <w:spacing w:after="120"/>
        <w:jc w:val="both"/>
      </w:pPr>
      <w:r w:rsidRPr="008971C0">
        <w:rPr>
          <w:rFonts w:ascii="Times New Roman" w:eastAsia="Times New Roman" w:hAnsi="Times New Roman"/>
          <w:sz w:val="21"/>
        </w:rPr>
        <w:t>Se identificó al menos un gap candidato por tipo.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1224"/>
        <w:gridCol w:w="2232"/>
        <w:gridCol w:w="3096"/>
        <w:gridCol w:w="2664"/>
      </w:tblGrid>
      <w:tr w:rsidR="00F27056" w:rsidRPr="008971C0">
        <w:trPr>
          <w:tblHeader/>
          <w:jc w:val="center"/>
        </w:trPr>
        <w:tc>
          <w:tcPr>
            <w:tcW w:w="1224" w:type="dxa"/>
            <w:shd w:val="clear" w:color="auto" w:fill="1F3864"/>
          </w:tcPr>
          <w:p w:rsidR="00F27056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7"/>
              </w:rPr>
              <w:t>Tipo de gap</w:t>
            </w:r>
          </w:p>
        </w:tc>
        <w:tc>
          <w:tcPr>
            <w:tcW w:w="2232" w:type="dxa"/>
            <w:shd w:val="clear" w:color="auto" w:fill="1F3864"/>
          </w:tcPr>
          <w:p w:rsidR="00F27056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7"/>
              </w:rPr>
              <w:t>Gap candidato</w:t>
            </w:r>
          </w:p>
        </w:tc>
        <w:tc>
          <w:tcPr>
            <w:tcW w:w="3096" w:type="dxa"/>
            <w:shd w:val="clear" w:color="auto" w:fill="1F3864"/>
          </w:tcPr>
          <w:p w:rsidR="00F27056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7"/>
              </w:rPr>
              <w:t>Evidencia (cita)</w:t>
            </w:r>
          </w:p>
        </w:tc>
        <w:tc>
          <w:tcPr>
            <w:tcW w:w="2664" w:type="dxa"/>
            <w:shd w:val="clear" w:color="auto" w:fill="1F3864"/>
          </w:tcPr>
          <w:p w:rsidR="00F27056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b/>
                <w:color w:val="FFFFFF"/>
                <w:sz w:val="17"/>
              </w:rPr>
              <w:t>Oportunidad de investigación</w:t>
            </w:r>
          </w:p>
        </w:tc>
      </w:tr>
      <w:tr w:rsidR="00F27056" w:rsidRPr="008971C0">
        <w:trPr>
          <w:cantSplit/>
          <w:jc w:val="center"/>
        </w:trPr>
        <w:tc>
          <w:tcPr>
            <w:tcW w:w="1224" w:type="dxa"/>
          </w:tcPr>
          <w:p w:rsidR="00F27056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Conocimiento (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knowledge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>)</w:t>
            </w:r>
          </w:p>
        </w:tc>
        <w:tc>
          <w:tcPr>
            <w:tcW w:w="2232" w:type="dxa"/>
          </w:tcPr>
          <w:p w:rsidR="00F27056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Falta evidencia sobre si el uso de IA agéntica en el SDLC se mantiene conforme a normas y arquitecturas formales en contextos distintos de proyectos empresariales privados.</w:t>
            </w:r>
          </w:p>
        </w:tc>
        <w:tc>
          <w:tcPr>
            <w:tcW w:w="3096" w:type="dxa"/>
          </w:tcPr>
          <w:p w:rsidR="00F27056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Alenezi et al. (2026): reporta que “no compliance breaches were observed” en 4 proyectos de una sola corporación (finanzas, salud y analítica); advierte que los hallazgos son “context-specific and derived from a limited number of enterprise projects” y que las fases de requisitos e ingeniería de arquitectura “are mostly conceptual and not extensively addressed”.</w:t>
            </w:r>
          </w:p>
        </w:tc>
        <w:tc>
          <w:tcPr>
            <w:tcW w:w="2664" w:type="dxa"/>
          </w:tcPr>
          <w:p w:rsidR="00F27056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Estudiar el cumplimiento de IA en el desarrollo bajo un marco arquitectónico obligatorio, en una entidad pública con múltiples fábricas de software.</w:t>
            </w:r>
          </w:p>
        </w:tc>
      </w:tr>
      <w:tr w:rsidR="00F27056" w:rsidRPr="008971C0">
        <w:trPr>
          <w:cantSplit/>
          <w:jc w:val="center"/>
        </w:trPr>
        <w:tc>
          <w:tcPr>
            <w:tcW w:w="1224" w:type="dxa"/>
          </w:tcPr>
          <w:p w:rsidR="00F27056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Metodológico (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methodological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>)</w:t>
            </w:r>
          </w:p>
        </w:tc>
        <w:tc>
          <w:tcPr>
            <w:tcW w:w="2232" w:type="dxa"/>
          </w:tcPr>
          <w:p w:rsidR="00F27056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Las propuestas se validan sobre todo con simulaciones, bancos de prueba o casos observacionales, y varias no declaran evaluación; la única evaluación pre/post en proyectos reales de desarrollo (#2) usa pocos casos y un diseño cuasi-experimental.</w:t>
            </w:r>
          </w:p>
        </w:tc>
        <w:tc>
          <w:tcPr>
            <w:tcW w:w="3096" w:type="dxa"/>
          </w:tcPr>
          <w:p w:rsidR="00F27056" w:rsidRPr="008971C0" w:rsidRDefault="00F27056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Alenezi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et al. (2026):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resultados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“indicative rather than broadly generalizable”, con “lack of randomization”;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señalan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además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que los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marcos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de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arquitectura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empresarial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“are described in terms of conceptualization alone but lack empirical validation within any real-life production environments controlled by governance”. Stein (2026): la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taxonomía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“awaits empirical validation through controlled deployment studies”. </w:t>
            </w:r>
            <w:r w:rsidRPr="008971C0">
              <w:rPr>
                <w:rFonts w:ascii="Times New Roman" w:eastAsia="Times New Roman" w:hAnsi="Times New Roman"/>
                <w:sz w:val="17"/>
              </w:rPr>
              <w:t xml:space="preserve">Los resúmenes de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Enyedi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(2026),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Zeydan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y Aydeger (2026) y Joshi (2024) no declaran evaluación empírica; Kushnerov et al. (2026) y Moraes et al. (2026) validan con simulación y conjuntos de prueba; Siddhu et al. (2026) compara contra una línea base en documentos de seguros.</w:t>
            </w:r>
          </w:p>
        </w:tc>
        <w:tc>
          <w:tcPr>
            <w:tcW w:w="2664" w:type="dxa"/>
          </w:tcPr>
          <w:p w:rsidR="00F27056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 xml:space="preserve">Diseño con enfoque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Design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Science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Research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>: construir un artefacto de gobernanza y evaluarlo en ciclos, con métricas de cumplimiento (p. ej., puntaje de conformidad) y comparación antes/después o con grupo de control.</w:t>
            </w:r>
          </w:p>
        </w:tc>
      </w:tr>
      <w:tr w:rsidR="00F27056" w:rsidRPr="008971C0">
        <w:trPr>
          <w:cantSplit/>
          <w:jc w:val="center"/>
        </w:trPr>
        <w:tc>
          <w:tcPr>
            <w:tcW w:w="1224" w:type="dxa"/>
          </w:tcPr>
          <w:p w:rsidR="00F27056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Contextual (contextual)</w:t>
            </w:r>
          </w:p>
        </w:tc>
        <w:tc>
          <w:tcPr>
            <w:tcW w:w="2232" w:type="dxa"/>
          </w:tcPr>
          <w:p w:rsidR="00F27056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El corpus se concentra en entornos empresariales y comerciales; no aparece el sector público ni los sistemas de seguridad social con convivencia de sistemas legados y obligaciones de interoperabilidad estatal.</w:t>
            </w:r>
          </w:p>
        </w:tc>
        <w:tc>
          <w:tcPr>
            <w:tcW w:w="3096" w:type="dxa"/>
          </w:tcPr>
          <w:p w:rsidR="00F27056" w:rsidRPr="008971C0" w:rsidRDefault="00F27056">
            <w:pPr>
              <w:spacing w:after="40"/>
            </w:pP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Alenezi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et al. (2026): una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>corporación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  <w:lang w:val="en-US"/>
              </w:rPr>
              <w:t xml:space="preserve"> “active in the domains of finance, healthcare, and analytics”. 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Siddhu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 xml:space="preserve"> et al. (2026): seguros de vida, y Do Val Lopes et al. (2026): salud (Brasil), únicos dominios regulados explícitos. Stein (2026): sus hallazgos “primarily reflect large enterprise contexts”. Ninguno de los 10 estudios (textos completos o resúmenes) menciona gobierno digital, sector público ni seguridad social.</w:t>
            </w:r>
          </w:p>
        </w:tc>
        <w:tc>
          <w:tcPr>
            <w:tcW w:w="2664" w:type="dxa"/>
          </w:tcPr>
          <w:p w:rsidR="00F27056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Caso SIIP–ONP: IA en el desarrollo bajo la Arquitectura de Referencia, con ECA, coexistencia con legados y normativa peruana de gobierno digital. Verificar el gap con los 13 registros no incluidos (4 en reserva y 9 excluidos) y bases adicionales.</w:t>
            </w:r>
          </w:p>
        </w:tc>
      </w:tr>
      <w:tr w:rsidR="00F27056" w:rsidRPr="008971C0">
        <w:trPr>
          <w:cantSplit/>
          <w:jc w:val="center"/>
        </w:trPr>
        <w:tc>
          <w:tcPr>
            <w:tcW w:w="1224" w:type="dxa"/>
          </w:tcPr>
          <w:p w:rsidR="00F27056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Teórico (</w:t>
            </w:r>
            <w:proofErr w:type="spellStart"/>
            <w:r w:rsidRPr="008971C0">
              <w:rPr>
                <w:rFonts w:ascii="Times New Roman" w:eastAsia="Times New Roman" w:hAnsi="Times New Roman"/>
                <w:sz w:val="17"/>
              </w:rPr>
              <w:t>theoretical</w:t>
            </w:r>
            <w:proofErr w:type="spellEnd"/>
            <w:r w:rsidRPr="008971C0">
              <w:rPr>
                <w:rFonts w:ascii="Times New Roman" w:eastAsia="Times New Roman" w:hAnsi="Times New Roman"/>
                <w:sz w:val="17"/>
              </w:rPr>
              <w:t>)</w:t>
            </w:r>
          </w:p>
        </w:tc>
        <w:tc>
          <w:tcPr>
            <w:tcW w:w="2232" w:type="dxa"/>
          </w:tcPr>
          <w:p w:rsidR="00F27056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En los estudios revisados hay taxonomías de autonomía/riesgo y propuestas de gobernanza, pero no se identificó una teoría que vincule los niveles de autonomía de la IA con criterios de conformidad de una arquitectura de referencia (TOGAF/ArchiMate).</w:t>
            </w:r>
          </w:p>
        </w:tc>
        <w:tc>
          <w:tcPr>
            <w:tcW w:w="3096" w:type="dxa"/>
          </w:tcPr>
          <w:p w:rsidR="00F27056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Stein (2026): taxonomía A–D, dirigida a arquitectos empresariales y con perspectivas de autonomía técnica y gobernanza de datos, que distingue la capa D como “a fundamental phase change in system autonomy”; no la vincula con criterios de conformidad de una arquitectura de referencia (TOGAF y ArchiMate no aparecen en el texto). Karuppuchamy (2026) propone “autonomía acotada” con políticas y puertas de aprobación, y Kushnerov et al. (2026) autorización continua zero-trust; sus resúmenes no declaran un mapeo a la conformidad arquitectónica.</w:t>
            </w:r>
          </w:p>
        </w:tc>
        <w:tc>
          <w:tcPr>
            <w:tcW w:w="2664" w:type="dxa"/>
          </w:tcPr>
          <w:p w:rsidR="00F27056" w:rsidRPr="008971C0" w:rsidRDefault="00F27056">
            <w:pPr>
              <w:spacing w:after="40"/>
            </w:pPr>
            <w:r w:rsidRPr="008971C0">
              <w:rPr>
                <w:rFonts w:ascii="Times New Roman" w:eastAsia="Times New Roman" w:hAnsi="Times New Roman"/>
                <w:sz w:val="17"/>
              </w:rPr>
              <w:t>Marco teórico que asocie cada nivel de autonomía (A–D) con controles, artefactos y hitos de gobierno arquitectónico (p. ej., dimensiones D1–D5 del ECA), y lo someta a validación.</w:t>
            </w:r>
          </w:p>
        </w:tc>
      </w:tr>
    </w:tbl>
    <w:p w:rsidR="00286C12" w:rsidRPr="008971C0" w:rsidRDefault="00286C12">
      <w:pPr>
        <w:spacing w:after="40"/>
      </w:pPr>
    </w:p>
    <w:p w:rsidR="00F27056" w:rsidRPr="008971C0" w:rsidRDefault="00F27056">
      <w:pPr>
        <w:keepNext/>
        <w:spacing w:before="160" w:after="80"/>
        <w:rPr>
          <w:rFonts w:ascii="Times New Roman" w:eastAsia="Times New Roman" w:hAnsi="Times New Roman"/>
          <w:b/>
          <w:sz w:val="24"/>
        </w:rPr>
      </w:pPr>
    </w:p>
    <w:p w:rsidR="00286C12" w:rsidRPr="008971C0" w:rsidRDefault="00F27056">
      <w:pPr>
        <w:keepNext/>
        <w:spacing w:before="160" w:after="80"/>
      </w:pPr>
      <w:r w:rsidRPr="008971C0">
        <w:rPr>
          <w:rFonts w:ascii="Times New Roman" w:eastAsia="Times New Roman" w:hAnsi="Times New Roman"/>
          <w:b/>
          <w:sz w:val="24"/>
        </w:rPr>
        <w:t>Referencias</w:t>
      </w:r>
    </w:p>
    <w:p w:rsidR="00286C12" w:rsidRPr="008971C0" w:rsidRDefault="00F27056">
      <w:pPr>
        <w:spacing w:after="60"/>
        <w:ind w:left="432" w:hanging="432"/>
        <w:rPr>
          <w:lang w:val="en-US"/>
        </w:rPr>
      </w:pPr>
      <w:r w:rsidRPr="008971C0">
        <w:rPr>
          <w:rFonts w:ascii="Times New Roman" w:eastAsia="Times New Roman" w:hAnsi="Times New Roman"/>
          <w:sz w:val="20"/>
        </w:rPr>
        <w:t xml:space="preserve">Alenezi, M., Akour, M., &amp; Al-Omari, O. (2026). </w:t>
      </w:r>
      <w:r w:rsidRPr="008971C0">
        <w:rPr>
          <w:rFonts w:ascii="Times New Roman" w:eastAsia="Times New Roman" w:hAnsi="Times New Roman"/>
          <w:sz w:val="20"/>
          <w:lang w:val="en-US"/>
        </w:rPr>
        <w:t>Agentic artificial intelligence in software engineering: Integration points, architectural frameworks, empirical evaluation, and governance. International Journal of Technology, 17(4), 1245–1262. https://ijtech.eng.ui.ac.id/article/view/8380</w:t>
      </w:r>
    </w:p>
    <w:p w:rsidR="00286C12" w:rsidRPr="008971C0" w:rsidRDefault="00F27056">
      <w:pPr>
        <w:spacing w:after="60"/>
        <w:ind w:left="432" w:hanging="432"/>
        <w:rPr>
          <w:lang w:val="en-US"/>
        </w:rPr>
      </w:pPr>
      <w:r w:rsidRPr="008971C0">
        <w:rPr>
          <w:rFonts w:ascii="Times New Roman" w:eastAsia="Times New Roman" w:hAnsi="Times New Roman"/>
          <w:sz w:val="20"/>
        </w:rPr>
        <w:t xml:space="preserve">Bandeira, A. P., De Oliveira, G. L. B., Maia, P. H. M., Aderaldo, C., &amp; Mendonça, N. (2026). </w:t>
      </w:r>
      <w:r w:rsidRPr="008971C0">
        <w:rPr>
          <w:rFonts w:ascii="Times New Roman" w:eastAsia="Times New Roman" w:hAnsi="Times New Roman"/>
          <w:sz w:val="20"/>
          <w:lang w:val="en-US"/>
        </w:rPr>
        <w:t>LLM-native applications: Toward a new paradigm in software engineering. In Proceedings of the 48th IEEE/ACM International Conference on Software Engineering: Companion Proceedings (ICSE Companion 2026). https://doi.org/10.1145/3774748.3795680</w:t>
      </w:r>
    </w:p>
    <w:p w:rsidR="00286C12" w:rsidRPr="008971C0" w:rsidRDefault="00F27056">
      <w:pPr>
        <w:spacing w:after="60"/>
        <w:ind w:left="432" w:hanging="432"/>
        <w:rPr>
          <w:lang w:val="en-US"/>
        </w:rPr>
      </w:pPr>
      <w:r w:rsidRPr="008971C0">
        <w:rPr>
          <w:rFonts w:ascii="Times New Roman" w:eastAsia="Times New Roman" w:hAnsi="Times New Roman"/>
          <w:sz w:val="20"/>
          <w:lang w:val="en-US"/>
        </w:rPr>
        <w:t>Do Val Lopes, C. L., Pitta, J. M., Belem, F. M., Alves, G., &amp; Martins, F. V. C. (2026). Engineering AI agents for clinical workflows: A case study in architecture, MLOps, and governance. In 2026 IEEE/ACM 5th International Conference on AI Engineering – Software Engineering for AI (CAIN ’26). https://doi.org/10.1145/3793653.3793774</w:t>
      </w:r>
    </w:p>
    <w:p w:rsidR="00286C12" w:rsidRPr="008971C0" w:rsidRDefault="00F27056">
      <w:pPr>
        <w:spacing w:after="60"/>
        <w:ind w:left="432" w:hanging="432"/>
        <w:rPr>
          <w:lang w:val="en-US"/>
        </w:rPr>
      </w:pPr>
      <w:r w:rsidRPr="008971C0">
        <w:rPr>
          <w:rFonts w:ascii="Times New Roman" w:eastAsia="Times New Roman" w:hAnsi="Times New Roman"/>
          <w:sz w:val="20"/>
        </w:rPr>
        <w:t xml:space="preserve">Elsisi, O., Santos, F. D. A., &amp; Melo, G. (2026). </w:t>
      </w:r>
      <w:r w:rsidRPr="008971C0">
        <w:rPr>
          <w:rFonts w:ascii="Times New Roman" w:eastAsia="Times New Roman" w:hAnsi="Times New Roman"/>
          <w:sz w:val="20"/>
          <w:lang w:val="en-US"/>
        </w:rPr>
        <w:t>Lifecycle-aware GenAI assistance with MCP via context refinement loops: A reference architecture. In FSE Companion 2026: Proceedings of the 34th ACM International Conference on the Foundations of Software Engineering. https://doi.org/10.1145/3803437.3805617</w:t>
      </w:r>
    </w:p>
    <w:p w:rsidR="00286C12" w:rsidRPr="008971C0" w:rsidRDefault="00F27056">
      <w:pPr>
        <w:spacing w:after="60"/>
        <w:ind w:left="432" w:hanging="432"/>
        <w:rPr>
          <w:lang w:val="en-US"/>
        </w:rPr>
      </w:pPr>
      <w:r w:rsidRPr="008971C0">
        <w:rPr>
          <w:rFonts w:ascii="Times New Roman" w:eastAsia="Times New Roman" w:hAnsi="Times New Roman"/>
          <w:sz w:val="20"/>
          <w:lang w:val="en-US"/>
        </w:rPr>
        <w:t>Enyedi, S. (2026). Human-certified module repositories for the AI age. In 2026 IEEE International Conference on Automation, Quality and Testing, Robotics (AQTR). https://doi.org/10.1109/AQTR70159.2026.11577868</w:t>
      </w:r>
    </w:p>
    <w:p w:rsidR="00286C12" w:rsidRPr="008971C0" w:rsidRDefault="00F27056">
      <w:pPr>
        <w:spacing w:after="60"/>
        <w:ind w:left="432" w:hanging="432"/>
        <w:rPr>
          <w:lang w:val="en-US"/>
        </w:rPr>
      </w:pPr>
      <w:r w:rsidRPr="008971C0">
        <w:rPr>
          <w:rFonts w:ascii="Times New Roman" w:eastAsia="Times New Roman" w:hAnsi="Times New Roman"/>
          <w:sz w:val="20"/>
          <w:lang w:val="en-US"/>
        </w:rPr>
        <w:t>Joshi, H. (2024). Secure software architecture for enterprise generative artificial intelligence. In 2024 IEEE 19th International Conference on Computer Science and Information Technologies (CSIT). https://doi.org/10.1109/CSIT65290.2024.10982676</w:t>
      </w:r>
    </w:p>
    <w:p w:rsidR="00286C12" w:rsidRPr="008971C0" w:rsidRDefault="00F27056">
      <w:pPr>
        <w:spacing w:after="60"/>
        <w:ind w:left="432" w:hanging="432"/>
        <w:rPr>
          <w:lang w:val="en-US"/>
        </w:rPr>
      </w:pPr>
      <w:r w:rsidRPr="008971C0">
        <w:rPr>
          <w:rFonts w:ascii="Times New Roman" w:eastAsia="Times New Roman" w:hAnsi="Times New Roman"/>
          <w:sz w:val="20"/>
          <w:lang w:val="en-US"/>
        </w:rPr>
        <w:t>Karuppuchamy, S. (2026). Governed agentic AI for software platforms: A reference architecture for safe autonomy at scale. In IEEE SoutheastCon 2026. https://ieeexplore.ieee.org/document/11475963</w:t>
      </w:r>
    </w:p>
    <w:p w:rsidR="00286C12" w:rsidRPr="008971C0" w:rsidRDefault="00F27056">
      <w:pPr>
        <w:spacing w:after="60"/>
        <w:ind w:left="432" w:hanging="432"/>
        <w:rPr>
          <w:lang w:val="en-US"/>
        </w:rPr>
      </w:pPr>
      <w:r w:rsidRPr="008971C0">
        <w:rPr>
          <w:rFonts w:ascii="Times New Roman" w:eastAsia="Times New Roman" w:hAnsi="Times New Roman"/>
          <w:sz w:val="20"/>
          <w:lang w:val="en-US"/>
        </w:rPr>
        <w:t>Kushnerov, O., Sokol, V., Akhiiezer, O., … Nadtochyi, M., &amp; Balagura, D. (2026). Zero-trust conceptual architecture for secure integration of large language models and autonomous AI agents. In ICHORA 2026 (8th International Congress on Human-Computer Interaction, Optimization and Robotic Applications). https://doi.org/10.1109/ICHORA69329.2026.11537001</w:t>
      </w:r>
    </w:p>
    <w:p w:rsidR="00286C12" w:rsidRPr="008971C0" w:rsidRDefault="00F27056">
      <w:pPr>
        <w:spacing w:after="60"/>
        <w:ind w:left="432" w:hanging="432"/>
        <w:rPr>
          <w:lang w:val="en-US"/>
        </w:rPr>
      </w:pPr>
      <w:r w:rsidRPr="008971C0">
        <w:rPr>
          <w:rFonts w:ascii="Times New Roman" w:eastAsia="Times New Roman" w:hAnsi="Times New Roman"/>
          <w:sz w:val="20"/>
        </w:rPr>
        <w:t xml:space="preserve">Moraes, L. M. P., Onofre, E. B., &amp; Aguiar, C. D. (2026). </w:t>
      </w:r>
      <w:r w:rsidRPr="008971C0">
        <w:rPr>
          <w:rFonts w:ascii="Times New Roman" w:eastAsia="Times New Roman" w:hAnsi="Times New Roman"/>
          <w:sz w:val="20"/>
          <w:lang w:val="en-US"/>
        </w:rPr>
        <w:t>Safeguarding big data question-answering systems with a two-layer input guardrails. In Proceedings of the 28th International Conference on Enterprise Information Systems (ICEIS 2026), Vol. 1, pp. 819–829. https://doi.org/10.5220/0014692300004018</w:t>
      </w:r>
    </w:p>
    <w:p w:rsidR="00286C12" w:rsidRPr="008971C0" w:rsidRDefault="00F27056">
      <w:pPr>
        <w:spacing w:after="60"/>
        <w:ind w:left="432" w:hanging="432"/>
        <w:rPr>
          <w:lang w:val="en-US"/>
        </w:rPr>
      </w:pPr>
      <w:r w:rsidRPr="008971C0">
        <w:rPr>
          <w:rFonts w:ascii="Times New Roman" w:eastAsia="Times New Roman" w:hAnsi="Times New Roman"/>
          <w:sz w:val="20"/>
          <w:lang w:val="en-US"/>
        </w:rPr>
        <w:t>Page, M. J., McKenzie, J. E., Bossuyt, P. M., et al. (2021). The PRISMA 2020 statement: An updated guideline for reporting systematic reviews. BMJ, 372, n71. https://doi.org/10.1136/bmj.n71</w:t>
      </w:r>
    </w:p>
    <w:p w:rsidR="00286C12" w:rsidRPr="008971C0" w:rsidRDefault="00F27056">
      <w:pPr>
        <w:spacing w:after="60"/>
        <w:ind w:left="432" w:hanging="432"/>
        <w:rPr>
          <w:lang w:val="en-US"/>
        </w:rPr>
      </w:pPr>
      <w:r w:rsidRPr="008971C0">
        <w:rPr>
          <w:rFonts w:ascii="Times New Roman" w:eastAsia="Times New Roman" w:hAnsi="Times New Roman"/>
          <w:sz w:val="20"/>
          <w:lang w:val="en-US"/>
        </w:rPr>
        <w:t>Siddhu, H. S., Pappu, K., &amp; Thanvi, Y. S. (2026). Compliance-aware generative AI for life insurance document synthesis: A reference architecture. In 2026 International Conference on Artificial Intelligence, Systems, and Emerging Technologies (ICAISET). https://doi.org/10.1109/ICAISET66439.2026.11541931</w:t>
      </w:r>
    </w:p>
    <w:p w:rsidR="00286C12" w:rsidRPr="008971C0" w:rsidRDefault="00F27056">
      <w:pPr>
        <w:spacing w:after="60"/>
        <w:ind w:left="432" w:hanging="432"/>
        <w:rPr>
          <w:lang w:val="en-US"/>
        </w:rPr>
      </w:pPr>
      <w:r w:rsidRPr="008971C0">
        <w:rPr>
          <w:rFonts w:ascii="Times New Roman" w:eastAsia="Times New Roman" w:hAnsi="Times New Roman"/>
          <w:sz w:val="20"/>
          <w:lang w:val="en-US"/>
        </w:rPr>
        <w:t>Stein, H. (2026). Toward a taxonomy of generative AI use cases in business contexts: Integrating complexity, risk, and strategy. Journal of Computational Science, 96, 102826. https://www.sciencedirect.com/science/article/pii/S187775032600044X</w:t>
      </w:r>
    </w:p>
    <w:p w:rsidR="00286C12" w:rsidRPr="00F27056" w:rsidRDefault="00F27056">
      <w:pPr>
        <w:spacing w:after="60"/>
        <w:ind w:left="432" w:hanging="432"/>
        <w:rPr>
          <w:lang w:val="en-US"/>
        </w:rPr>
      </w:pPr>
      <w:r w:rsidRPr="008971C0">
        <w:rPr>
          <w:rFonts w:ascii="Times New Roman" w:eastAsia="Times New Roman" w:hAnsi="Times New Roman"/>
          <w:sz w:val="20"/>
          <w:lang w:val="en-US"/>
        </w:rPr>
        <w:t>Zeydan, E., &amp; Aydeger, A. (2026). Bias-free and auto-evolving generative AI: Design principles, architectures, and reinforcement integration. In 2026 IEEE 23rd Consumer Communications &amp; Networking Conference (CCNC). https://doi.org/10.1109/CCNC65079.2026.11366270</w:t>
      </w:r>
    </w:p>
    <w:sectPr w:rsidR="00286C12" w:rsidRPr="00F27056"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A61E00"/>
    <w:multiLevelType w:val="hybridMultilevel"/>
    <w:tmpl w:val="43DA63C6"/>
    <w:lvl w:ilvl="0" w:tplc="280A0001">
      <w:start w:val="1"/>
      <w:numFmt w:val="bullet"/>
      <w:lvlText w:val=""/>
      <w:lvlJc w:val="left"/>
      <w:pPr>
        <w:ind w:left="460" w:hanging="260"/>
      </w:pPr>
      <w:rPr>
        <w:rFonts w:ascii="Symbol" w:hAnsi="Symbol" w:hint="default"/>
      </w:rPr>
    </w:lvl>
    <w:lvl w:ilvl="1" w:tplc="C212ACE4">
      <w:numFmt w:val="decimal"/>
      <w:lvlText w:val=""/>
      <w:lvlJc w:val="left"/>
    </w:lvl>
    <w:lvl w:ilvl="2" w:tplc="39723DAC">
      <w:numFmt w:val="decimal"/>
      <w:lvlText w:val=""/>
      <w:lvlJc w:val="left"/>
    </w:lvl>
    <w:lvl w:ilvl="3" w:tplc="38CEB6E6">
      <w:numFmt w:val="decimal"/>
      <w:lvlText w:val=""/>
      <w:lvlJc w:val="left"/>
    </w:lvl>
    <w:lvl w:ilvl="4" w:tplc="186AF7FE">
      <w:numFmt w:val="decimal"/>
      <w:lvlText w:val=""/>
      <w:lvlJc w:val="left"/>
    </w:lvl>
    <w:lvl w:ilvl="5" w:tplc="7A0A307A">
      <w:numFmt w:val="decimal"/>
      <w:lvlText w:val=""/>
      <w:lvlJc w:val="left"/>
    </w:lvl>
    <w:lvl w:ilvl="6" w:tplc="FDAE8EAC">
      <w:numFmt w:val="decimal"/>
      <w:lvlText w:val=""/>
      <w:lvlJc w:val="left"/>
    </w:lvl>
    <w:lvl w:ilvl="7" w:tplc="F5A4377A">
      <w:numFmt w:val="decimal"/>
      <w:lvlText w:val=""/>
      <w:lvlJc w:val="left"/>
    </w:lvl>
    <w:lvl w:ilvl="8" w:tplc="A15E3300">
      <w:numFmt w:val="decimal"/>
      <w:lvlText w:val=""/>
      <w:lvlJc w:val="left"/>
    </w:lvl>
  </w:abstractNum>
  <w:abstractNum w:abstractNumId="1" w15:restartNumberingAfterBreak="0">
    <w:nsid w:val="07FC7E3E"/>
    <w:multiLevelType w:val="hybridMultilevel"/>
    <w:tmpl w:val="A920C74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84D50"/>
    <w:multiLevelType w:val="hybridMultilevel"/>
    <w:tmpl w:val="64CAF64C"/>
    <w:lvl w:ilvl="0" w:tplc="280A0001">
      <w:start w:val="1"/>
      <w:numFmt w:val="bullet"/>
      <w:lvlText w:val=""/>
      <w:lvlJc w:val="left"/>
      <w:pPr>
        <w:ind w:left="9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6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0" w:hanging="360"/>
      </w:pPr>
      <w:rPr>
        <w:rFonts w:ascii="Wingdings" w:hAnsi="Wingdings" w:hint="default"/>
      </w:rPr>
    </w:lvl>
  </w:abstractNum>
  <w:abstractNum w:abstractNumId="3" w15:restartNumberingAfterBreak="0">
    <w:nsid w:val="0EA57602"/>
    <w:multiLevelType w:val="hybridMultilevel"/>
    <w:tmpl w:val="07E4F634"/>
    <w:lvl w:ilvl="0" w:tplc="F202FC6A">
      <w:start w:val="1"/>
      <w:numFmt w:val="decimal"/>
      <w:lvlText w:val="%1."/>
      <w:lvlJc w:val="left"/>
      <w:pPr>
        <w:ind w:left="460" w:hanging="260"/>
      </w:pPr>
    </w:lvl>
    <w:lvl w:ilvl="1" w:tplc="15FCE6F4">
      <w:numFmt w:val="decimal"/>
      <w:lvlText w:val=""/>
      <w:lvlJc w:val="left"/>
    </w:lvl>
    <w:lvl w:ilvl="2" w:tplc="DB2E3350">
      <w:numFmt w:val="decimal"/>
      <w:lvlText w:val=""/>
      <w:lvlJc w:val="left"/>
    </w:lvl>
    <w:lvl w:ilvl="3" w:tplc="CAE0870A">
      <w:numFmt w:val="decimal"/>
      <w:lvlText w:val=""/>
      <w:lvlJc w:val="left"/>
    </w:lvl>
    <w:lvl w:ilvl="4" w:tplc="EF123C2E">
      <w:numFmt w:val="decimal"/>
      <w:lvlText w:val=""/>
      <w:lvlJc w:val="left"/>
    </w:lvl>
    <w:lvl w:ilvl="5" w:tplc="145083B2">
      <w:numFmt w:val="decimal"/>
      <w:lvlText w:val=""/>
      <w:lvlJc w:val="left"/>
    </w:lvl>
    <w:lvl w:ilvl="6" w:tplc="AA6A3298">
      <w:numFmt w:val="decimal"/>
      <w:lvlText w:val=""/>
      <w:lvlJc w:val="left"/>
    </w:lvl>
    <w:lvl w:ilvl="7" w:tplc="7C86C316">
      <w:numFmt w:val="decimal"/>
      <w:lvlText w:val=""/>
      <w:lvlJc w:val="left"/>
    </w:lvl>
    <w:lvl w:ilvl="8" w:tplc="C9FA0FEE">
      <w:numFmt w:val="decimal"/>
      <w:lvlText w:val=""/>
      <w:lvlJc w:val="left"/>
    </w:lvl>
  </w:abstractNum>
  <w:abstractNum w:abstractNumId="4" w15:restartNumberingAfterBreak="0">
    <w:nsid w:val="16417C39"/>
    <w:multiLevelType w:val="hybridMultilevel"/>
    <w:tmpl w:val="AF329152"/>
    <w:lvl w:ilvl="0" w:tplc="280A0001">
      <w:start w:val="1"/>
      <w:numFmt w:val="bullet"/>
      <w:lvlText w:val=""/>
      <w:lvlJc w:val="left"/>
      <w:pPr>
        <w:ind w:left="460" w:hanging="260"/>
      </w:pPr>
      <w:rPr>
        <w:rFonts w:ascii="Symbol" w:hAnsi="Symbol" w:hint="default"/>
      </w:rPr>
    </w:lvl>
    <w:lvl w:ilvl="1" w:tplc="C212ACE4">
      <w:numFmt w:val="decimal"/>
      <w:lvlText w:val=""/>
      <w:lvlJc w:val="left"/>
    </w:lvl>
    <w:lvl w:ilvl="2" w:tplc="39723DAC">
      <w:numFmt w:val="decimal"/>
      <w:lvlText w:val=""/>
      <w:lvlJc w:val="left"/>
    </w:lvl>
    <w:lvl w:ilvl="3" w:tplc="38CEB6E6">
      <w:numFmt w:val="decimal"/>
      <w:lvlText w:val=""/>
      <w:lvlJc w:val="left"/>
    </w:lvl>
    <w:lvl w:ilvl="4" w:tplc="186AF7FE">
      <w:numFmt w:val="decimal"/>
      <w:lvlText w:val=""/>
      <w:lvlJc w:val="left"/>
    </w:lvl>
    <w:lvl w:ilvl="5" w:tplc="7A0A307A">
      <w:numFmt w:val="decimal"/>
      <w:lvlText w:val=""/>
      <w:lvlJc w:val="left"/>
    </w:lvl>
    <w:lvl w:ilvl="6" w:tplc="FDAE8EAC">
      <w:numFmt w:val="decimal"/>
      <w:lvlText w:val=""/>
      <w:lvlJc w:val="left"/>
    </w:lvl>
    <w:lvl w:ilvl="7" w:tplc="F5A4377A">
      <w:numFmt w:val="decimal"/>
      <w:lvlText w:val=""/>
      <w:lvlJc w:val="left"/>
    </w:lvl>
    <w:lvl w:ilvl="8" w:tplc="A15E3300">
      <w:numFmt w:val="decimal"/>
      <w:lvlText w:val=""/>
      <w:lvlJc w:val="left"/>
    </w:lvl>
  </w:abstractNum>
  <w:abstractNum w:abstractNumId="5" w15:restartNumberingAfterBreak="0">
    <w:nsid w:val="17DE4A79"/>
    <w:multiLevelType w:val="hybridMultilevel"/>
    <w:tmpl w:val="8894FB26"/>
    <w:lvl w:ilvl="0" w:tplc="280A0001">
      <w:start w:val="1"/>
      <w:numFmt w:val="bullet"/>
      <w:lvlText w:val=""/>
      <w:lvlJc w:val="left"/>
      <w:pPr>
        <w:ind w:left="460" w:hanging="260"/>
      </w:pPr>
      <w:rPr>
        <w:rFonts w:ascii="Symbol" w:hAnsi="Symbol" w:hint="default"/>
      </w:rPr>
    </w:lvl>
    <w:lvl w:ilvl="1" w:tplc="C212ACE4">
      <w:numFmt w:val="decimal"/>
      <w:lvlText w:val=""/>
      <w:lvlJc w:val="left"/>
    </w:lvl>
    <w:lvl w:ilvl="2" w:tplc="39723DAC">
      <w:numFmt w:val="decimal"/>
      <w:lvlText w:val=""/>
      <w:lvlJc w:val="left"/>
    </w:lvl>
    <w:lvl w:ilvl="3" w:tplc="38CEB6E6">
      <w:numFmt w:val="decimal"/>
      <w:lvlText w:val=""/>
      <w:lvlJc w:val="left"/>
    </w:lvl>
    <w:lvl w:ilvl="4" w:tplc="186AF7FE">
      <w:numFmt w:val="decimal"/>
      <w:lvlText w:val=""/>
      <w:lvlJc w:val="left"/>
    </w:lvl>
    <w:lvl w:ilvl="5" w:tplc="7A0A307A">
      <w:numFmt w:val="decimal"/>
      <w:lvlText w:val=""/>
      <w:lvlJc w:val="left"/>
    </w:lvl>
    <w:lvl w:ilvl="6" w:tplc="FDAE8EAC">
      <w:numFmt w:val="decimal"/>
      <w:lvlText w:val=""/>
      <w:lvlJc w:val="left"/>
    </w:lvl>
    <w:lvl w:ilvl="7" w:tplc="F5A4377A">
      <w:numFmt w:val="decimal"/>
      <w:lvlText w:val=""/>
      <w:lvlJc w:val="left"/>
    </w:lvl>
    <w:lvl w:ilvl="8" w:tplc="A15E3300">
      <w:numFmt w:val="decimal"/>
      <w:lvlText w:val=""/>
      <w:lvlJc w:val="left"/>
    </w:lvl>
  </w:abstractNum>
  <w:abstractNum w:abstractNumId="6" w15:restartNumberingAfterBreak="0">
    <w:nsid w:val="1938324A"/>
    <w:multiLevelType w:val="hybridMultilevel"/>
    <w:tmpl w:val="F0A21032"/>
    <w:lvl w:ilvl="0" w:tplc="CB18FD26">
      <w:start w:val="1"/>
      <w:numFmt w:val="bullet"/>
      <w:lvlText w:val="●"/>
      <w:lvlJc w:val="left"/>
      <w:pPr>
        <w:ind w:left="720" w:hanging="360"/>
      </w:pPr>
    </w:lvl>
    <w:lvl w:ilvl="1" w:tplc="42D2CE22">
      <w:start w:val="1"/>
      <w:numFmt w:val="bullet"/>
      <w:lvlText w:val="○"/>
      <w:lvlJc w:val="left"/>
      <w:pPr>
        <w:ind w:left="1440" w:hanging="360"/>
      </w:pPr>
    </w:lvl>
    <w:lvl w:ilvl="2" w:tplc="73307FB8">
      <w:start w:val="1"/>
      <w:numFmt w:val="bullet"/>
      <w:lvlText w:val="■"/>
      <w:lvlJc w:val="left"/>
      <w:pPr>
        <w:ind w:left="2160" w:hanging="360"/>
      </w:pPr>
    </w:lvl>
    <w:lvl w:ilvl="3" w:tplc="520AB92E">
      <w:start w:val="1"/>
      <w:numFmt w:val="bullet"/>
      <w:lvlText w:val="●"/>
      <w:lvlJc w:val="left"/>
      <w:pPr>
        <w:ind w:left="2880" w:hanging="360"/>
      </w:pPr>
    </w:lvl>
    <w:lvl w:ilvl="4" w:tplc="93FEED78">
      <w:start w:val="1"/>
      <w:numFmt w:val="bullet"/>
      <w:lvlText w:val="○"/>
      <w:lvlJc w:val="left"/>
      <w:pPr>
        <w:ind w:left="3600" w:hanging="360"/>
      </w:pPr>
    </w:lvl>
    <w:lvl w:ilvl="5" w:tplc="9A149B50">
      <w:start w:val="1"/>
      <w:numFmt w:val="bullet"/>
      <w:lvlText w:val="■"/>
      <w:lvlJc w:val="left"/>
      <w:pPr>
        <w:ind w:left="4320" w:hanging="360"/>
      </w:pPr>
    </w:lvl>
    <w:lvl w:ilvl="6" w:tplc="F86293D4">
      <w:start w:val="1"/>
      <w:numFmt w:val="bullet"/>
      <w:lvlText w:val="●"/>
      <w:lvlJc w:val="left"/>
      <w:pPr>
        <w:ind w:left="5040" w:hanging="360"/>
      </w:pPr>
    </w:lvl>
    <w:lvl w:ilvl="7" w:tplc="901C0CDA">
      <w:start w:val="1"/>
      <w:numFmt w:val="bullet"/>
      <w:lvlText w:val="●"/>
      <w:lvlJc w:val="left"/>
      <w:pPr>
        <w:ind w:left="5760" w:hanging="360"/>
      </w:pPr>
    </w:lvl>
    <w:lvl w:ilvl="8" w:tplc="65A250DE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1BF4265E"/>
    <w:multiLevelType w:val="hybridMultilevel"/>
    <w:tmpl w:val="23061172"/>
    <w:lvl w:ilvl="0" w:tplc="8B92C170">
      <w:start w:val="1"/>
      <w:numFmt w:val="decimal"/>
      <w:lvlText w:val="%1."/>
      <w:lvlJc w:val="left"/>
      <w:pPr>
        <w:ind w:left="460" w:hanging="260"/>
      </w:pPr>
    </w:lvl>
    <w:lvl w:ilvl="1" w:tplc="76CAA440">
      <w:numFmt w:val="decimal"/>
      <w:lvlText w:val=""/>
      <w:lvlJc w:val="left"/>
    </w:lvl>
    <w:lvl w:ilvl="2" w:tplc="D74AF2CC">
      <w:numFmt w:val="decimal"/>
      <w:lvlText w:val=""/>
      <w:lvlJc w:val="left"/>
    </w:lvl>
    <w:lvl w:ilvl="3" w:tplc="2E18BBC4">
      <w:numFmt w:val="decimal"/>
      <w:lvlText w:val=""/>
      <w:lvlJc w:val="left"/>
    </w:lvl>
    <w:lvl w:ilvl="4" w:tplc="BF524B3C">
      <w:numFmt w:val="decimal"/>
      <w:lvlText w:val=""/>
      <w:lvlJc w:val="left"/>
    </w:lvl>
    <w:lvl w:ilvl="5" w:tplc="AA48F9C2">
      <w:numFmt w:val="decimal"/>
      <w:lvlText w:val=""/>
      <w:lvlJc w:val="left"/>
    </w:lvl>
    <w:lvl w:ilvl="6" w:tplc="1674C78C">
      <w:numFmt w:val="decimal"/>
      <w:lvlText w:val=""/>
      <w:lvlJc w:val="left"/>
    </w:lvl>
    <w:lvl w:ilvl="7" w:tplc="FEDE5364">
      <w:numFmt w:val="decimal"/>
      <w:lvlText w:val=""/>
      <w:lvlJc w:val="left"/>
    </w:lvl>
    <w:lvl w:ilvl="8" w:tplc="B288AEF2">
      <w:numFmt w:val="decimal"/>
      <w:lvlText w:val=""/>
      <w:lvlJc w:val="left"/>
    </w:lvl>
  </w:abstractNum>
  <w:abstractNum w:abstractNumId="8" w15:restartNumberingAfterBreak="0">
    <w:nsid w:val="1EFF54FF"/>
    <w:multiLevelType w:val="hybridMultilevel"/>
    <w:tmpl w:val="0A02655A"/>
    <w:lvl w:ilvl="0" w:tplc="280A0001">
      <w:start w:val="1"/>
      <w:numFmt w:val="bullet"/>
      <w:lvlText w:val=""/>
      <w:lvlJc w:val="left"/>
      <w:pPr>
        <w:ind w:left="460" w:hanging="260"/>
      </w:pPr>
      <w:rPr>
        <w:rFonts w:ascii="Symbol" w:hAnsi="Symbol" w:hint="default"/>
      </w:rPr>
    </w:lvl>
    <w:lvl w:ilvl="1" w:tplc="C212ACE4">
      <w:numFmt w:val="decimal"/>
      <w:lvlText w:val=""/>
      <w:lvlJc w:val="left"/>
    </w:lvl>
    <w:lvl w:ilvl="2" w:tplc="39723DAC">
      <w:numFmt w:val="decimal"/>
      <w:lvlText w:val=""/>
      <w:lvlJc w:val="left"/>
    </w:lvl>
    <w:lvl w:ilvl="3" w:tplc="38CEB6E6">
      <w:numFmt w:val="decimal"/>
      <w:lvlText w:val=""/>
      <w:lvlJc w:val="left"/>
    </w:lvl>
    <w:lvl w:ilvl="4" w:tplc="186AF7FE">
      <w:numFmt w:val="decimal"/>
      <w:lvlText w:val=""/>
      <w:lvlJc w:val="left"/>
    </w:lvl>
    <w:lvl w:ilvl="5" w:tplc="7A0A307A">
      <w:numFmt w:val="decimal"/>
      <w:lvlText w:val=""/>
      <w:lvlJc w:val="left"/>
    </w:lvl>
    <w:lvl w:ilvl="6" w:tplc="FDAE8EAC">
      <w:numFmt w:val="decimal"/>
      <w:lvlText w:val=""/>
      <w:lvlJc w:val="left"/>
    </w:lvl>
    <w:lvl w:ilvl="7" w:tplc="F5A4377A">
      <w:numFmt w:val="decimal"/>
      <w:lvlText w:val=""/>
      <w:lvlJc w:val="left"/>
    </w:lvl>
    <w:lvl w:ilvl="8" w:tplc="A15E3300">
      <w:numFmt w:val="decimal"/>
      <w:lvlText w:val=""/>
      <w:lvlJc w:val="left"/>
    </w:lvl>
  </w:abstractNum>
  <w:abstractNum w:abstractNumId="9" w15:restartNumberingAfterBreak="0">
    <w:nsid w:val="25B97573"/>
    <w:multiLevelType w:val="hybridMultilevel"/>
    <w:tmpl w:val="279A8344"/>
    <w:lvl w:ilvl="0" w:tplc="280A0001">
      <w:start w:val="1"/>
      <w:numFmt w:val="bullet"/>
      <w:lvlText w:val=""/>
      <w:lvlJc w:val="left"/>
      <w:pPr>
        <w:ind w:left="460" w:hanging="260"/>
      </w:pPr>
      <w:rPr>
        <w:rFonts w:ascii="Symbol" w:hAnsi="Symbol" w:hint="default"/>
      </w:rPr>
    </w:lvl>
    <w:lvl w:ilvl="1" w:tplc="C212ACE4">
      <w:numFmt w:val="decimal"/>
      <w:lvlText w:val=""/>
      <w:lvlJc w:val="left"/>
    </w:lvl>
    <w:lvl w:ilvl="2" w:tplc="39723DAC">
      <w:numFmt w:val="decimal"/>
      <w:lvlText w:val=""/>
      <w:lvlJc w:val="left"/>
    </w:lvl>
    <w:lvl w:ilvl="3" w:tplc="38CEB6E6">
      <w:numFmt w:val="decimal"/>
      <w:lvlText w:val=""/>
      <w:lvlJc w:val="left"/>
    </w:lvl>
    <w:lvl w:ilvl="4" w:tplc="186AF7FE">
      <w:numFmt w:val="decimal"/>
      <w:lvlText w:val=""/>
      <w:lvlJc w:val="left"/>
    </w:lvl>
    <w:lvl w:ilvl="5" w:tplc="7A0A307A">
      <w:numFmt w:val="decimal"/>
      <w:lvlText w:val=""/>
      <w:lvlJc w:val="left"/>
    </w:lvl>
    <w:lvl w:ilvl="6" w:tplc="FDAE8EAC">
      <w:numFmt w:val="decimal"/>
      <w:lvlText w:val=""/>
      <w:lvlJc w:val="left"/>
    </w:lvl>
    <w:lvl w:ilvl="7" w:tplc="F5A4377A">
      <w:numFmt w:val="decimal"/>
      <w:lvlText w:val=""/>
      <w:lvlJc w:val="left"/>
    </w:lvl>
    <w:lvl w:ilvl="8" w:tplc="A15E3300">
      <w:numFmt w:val="decimal"/>
      <w:lvlText w:val=""/>
      <w:lvlJc w:val="left"/>
    </w:lvl>
  </w:abstractNum>
  <w:abstractNum w:abstractNumId="10" w15:restartNumberingAfterBreak="0">
    <w:nsid w:val="448D2521"/>
    <w:multiLevelType w:val="hybridMultilevel"/>
    <w:tmpl w:val="3C88A45A"/>
    <w:lvl w:ilvl="0" w:tplc="280A0001">
      <w:start w:val="1"/>
      <w:numFmt w:val="bullet"/>
      <w:lvlText w:val=""/>
      <w:lvlJc w:val="left"/>
      <w:pPr>
        <w:ind w:left="460" w:hanging="260"/>
      </w:pPr>
      <w:rPr>
        <w:rFonts w:ascii="Symbol" w:hAnsi="Symbol" w:hint="default"/>
      </w:rPr>
    </w:lvl>
    <w:lvl w:ilvl="1" w:tplc="C212ACE4">
      <w:numFmt w:val="decimal"/>
      <w:lvlText w:val=""/>
      <w:lvlJc w:val="left"/>
    </w:lvl>
    <w:lvl w:ilvl="2" w:tplc="39723DAC">
      <w:numFmt w:val="decimal"/>
      <w:lvlText w:val=""/>
      <w:lvlJc w:val="left"/>
    </w:lvl>
    <w:lvl w:ilvl="3" w:tplc="38CEB6E6">
      <w:numFmt w:val="decimal"/>
      <w:lvlText w:val=""/>
      <w:lvlJc w:val="left"/>
    </w:lvl>
    <w:lvl w:ilvl="4" w:tplc="186AF7FE">
      <w:numFmt w:val="decimal"/>
      <w:lvlText w:val=""/>
      <w:lvlJc w:val="left"/>
    </w:lvl>
    <w:lvl w:ilvl="5" w:tplc="7A0A307A">
      <w:numFmt w:val="decimal"/>
      <w:lvlText w:val=""/>
      <w:lvlJc w:val="left"/>
    </w:lvl>
    <w:lvl w:ilvl="6" w:tplc="FDAE8EAC">
      <w:numFmt w:val="decimal"/>
      <w:lvlText w:val=""/>
      <w:lvlJc w:val="left"/>
    </w:lvl>
    <w:lvl w:ilvl="7" w:tplc="F5A4377A">
      <w:numFmt w:val="decimal"/>
      <w:lvlText w:val=""/>
      <w:lvlJc w:val="left"/>
    </w:lvl>
    <w:lvl w:ilvl="8" w:tplc="A15E3300">
      <w:numFmt w:val="decimal"/>
      <w:lvlText w:val=""/>
      <w:lvlJc w:val="left"/>
    </w:lvl>
  </w:abstractNum>
  <w:abstractNum w:abstractNumId="11" w15:restartNumberingAfterBreak="0">
    <w:nsid w:val="45EC4487"/>
    <w:multiLevelType w:val="hybridMultilevel"/>
    <w:tmpl w:val="6840E824"/>
    <w:lvl w:ilvl="0" w:tplc="280A0001">
      <w:start w:val="1"/>
      <w:numFmt w:val="bullet"/>
      <w:lvlText w:val=""/>
      <w:lvlJc w:val="left"/>
      <w:pPr>
        <w:ind w:left="460" w:hanging="260"/>
      </w:pPr>
      <w:rPr>
        <w:rFonts w:ascii="Symbol" w:hAnsi="Symbol" w:hint="default"/>
      </w:rPr>
    </w:lvl>
    <w:lvl w:ilvl="1" w:tplc="C212ACE4">
      <w:numFmt w:val="decimal"/>
      <w:lvlText w:val=""/>
      <w:lvlJc w:val="left"/>
    </w:lvl>
    <w:lvl w:ilvl="2" w:tplc="39723DAC">
      <w:numFmt w:val="decimal"/>
      <w:lvlText w:val=""/>
      <w:lvlJc w:val="left"/>
    </w:lvl>
    <w:lvl w:ilvl="3" w:tplc="38CEB6E6">
      <w:numFmt w:val="decimal"/>
      <w:lvlText w:val=""/>
      <w:lvlJc w:val="left"/>
    </w:lvl>
    <w:lvl w:ilvl="4" w:tplc="186AF7FE">
      <w:numFmt w:val="decimal"/>
      <w:lvlText w:val=""/>
      <w:lvlJc w:val="left"/>
    </w:lvl>
    <w:lvl w:ilvl="5" w:tplc="7A0A307A">
      <w:numFmt w:val="decimal"/>
      <w:lvlText w:val=""/>
      <w:lvlJc w:val="left"/>
    </w:lvl>
    <w:lvl w:ilvl="6" w:tplc="FDAE8EAC">
      <w:numFmt w:val="decimal"/>
      <w:lvlText w:val=""/>
      <w:lvlJc w:val="left"/>
    </w:lvl>
    <w:lvl w:ilvl="7" w:tplc="F5A4377A">
      <w:numFmt w:val="decimal"/>
      <w:lvlText w:val=""/>
      <w:lvlJc w:val="left"/>
    </w:lvl>
    <w:lvl w:ilvl="8" w:tplc="A15E3300">
      <w:numFmt w:val="decimal"/>
      <w:lvlText w:val=""/>
      <w:lvlJc w:val="left"/>
    </w:lvl>
  </w:abstractNum>
  <w:abstractNum w:abstractNumId="12" w15:restartNumberingAfterBreak="0">
    <w:nsid w:val="5CB014F5"/>
    <w:multiLevelType w:val="hybridMultilevel"/>
    <w:tmpl w:val="39DE7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FB0ABD"/>
    <w:multiLevelType w:val="hybridMultilevel"/>
    <w:tmpl w:val="4C2246AC"/>
    <w:lvl w:ilvl="0" w:tplc="C41E3B78">
      <w:start w:val="1"/>
      <w:numFmt w:val="decimal"/>
      <w:lvlText w:val="%1."/>
      <w:lvlJc w:val="left"/>
      <w:pPr>
        <w:ind w:left="460" w:hanging="260"/>
      </w:pPr>
    </w:lvl>
    <w:lvl w:ilvl="1" w:tplc="F52E670C">
      <w:numFmt w:val="decimal"/>
      <w:lvlText w:val=""/>
      <w:lvlJc w:val="left"/>
    </w:lvl>
    <w:lvl w:ilvl="2" w:tplc="BAB667A6">
      <w:numFmt w:val="decimal"/>
      <w:lvlText w:val=""/>
      <w:lvlJc w:val="left"/>
    </w:lvl>
    <w:lvl w:ilvl="3" w:tplc="A4A4CEF8">
      <w:numFmt w:val="decimal"/>
      <w:lvlText w:val=""/>
      <w:lvlJc w:val="left"/>
    </w:lvl>
    <w:lvl w:ilvl="4" w:tplc="88B29578">
      <w:numFmt w:val="decimal"/>
      <w:lvlText w:val=""/>
      <w:lvlJc w:val="left"/>
    </w:lvl>
    <w:lvl w:ilvl="5" w:tplc="BFC436FC">
      <w:numFmt w:val="decimal"/>
      <w:lvlText w:val=""/>
      <w:lvlJc w:val="left"/>
    </w:lvl>
    <w:lvl w:ilvl="6" w:tplc="B122D54C">
      <w:numFmt w:val="decimal"/>
      <w:lvlText w:val=""/>
      <w:lvlJc w:val="left"/>
    </w:lvl>
    <w:lvl w:ilvl="7" w:tplc="76980F9E">
      <w:numFmt w:val="decimal"/>
      <w:lvlText w:val=""/>
      <w:lvlJc w:val="left"/>
    </w:lvl>
    <w:lvl w:ilvl="8" w:tplc="82E4CED4">
      <w:numFmt w:val="decimal"/>
      <w:lvlText w:val=""/>
      <w:lvlJc w:val="left"/>
    </w:lvl>
  </w:abstractNum>
  <w:abstractNum w:abstractNumId="14" w15:restartNumberingAfterBreak="0">
    <w:nsid w:val="6C402870"/>
    <w:multiLevelType w:val="hybridMultilevel"/>
    <w:tmpl w:val="2F12243A"/>
    <w:lvl w:ilvl="0" w:tplc="3BA44B3C">
      <w:start w:val="1"/>
      <w:numFmt w:val="bullet"/>
      <w:lvlText w:val="—"/>
      <w:lvlJc w:val="left"/>
      <w:pPr>
        <w:ind w:left="460" w:hanging="260"/>
      </w:pPr>
    </w:lvl>
    <w:lvl w:ilvl="1" w:tplc="C212ACE4">
      <w:numFmt w:val="decimal"/>
      <w:lvlText w:val=""/>
      <w:lvlJc w:val="left"/>
    </w:lvl>
    <w:lvl w:ilvl="2" w:tplc="39723DAC">
      <w:numFmt w:val="decimal"/>
      <w:lvlText w:val=""/>
      <w:lvlJc w:val="left"/>
    </w:lvl>
    <w:lvl w:ilvl="3" w:tplc="38CEB6E6">
      <w:numFmt w:val="decimal"/>
      <w:lvlText w:val=""/>
      <w:lvlJc w:val="left"/>
    </w:lvl>
    <w:lvl w:ilvl="4" w:tplc="186AF7FE">
      <w:numFmt w:val="decimal"/>
      <w:lvlText w:val=""/>
      <w:lvlJc w:val="left"/>
    </w:lvl>
    <w:lvl w:ilvl="5" w:tplc="7A0A307A">
      <w:numFmt w:val="decimal"/>
      <w:lvlText w:val=""/>
      <w:lvlJc w:val="left"/>
    </w:lvl>
    <w:lvl w:ilvl="6" w:tplc="FDAE8EAC">
      <w:numFmt w:val="decimal"/>
      <w:lvlText w:val=""/>
      <w:lvlJc w:val="left"/>
    </w:lvl>
    <w:lvl w:ilvl="7" w:tplc="F5A4377A">
      <w:numFmt w:val="decimal"/>
      <w:lvlText w:val=""/>
      <w:lvlJc w:val="left"/>
    </w:lvl>
    <w:lvl w:ilvl="8" w:tplc="A15E3300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14"/>
    <w:lvlOverride w:ilvl="0">
      <w:startOverride w:val="1"/>
    </w:lvlOverride>
  </w:num>
  <w:num w:numId="3">
    <w:abstractNumId w:val="13"/>
    <w:lvlOverride w:ilvl="0">
      <w:startOverride w:val="1"/>
    </w:lvlOverride>
  </w:num>
  <w:num w:numId="4">
    <w:abstractNumId w:val="7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14"/>
  </w:num>
  <w:num w:numId="7">
    <w:abstractNumId w:val="4"/>
  </w:num>
  <w:num w:numId="8">
    <w:abstractNumId w:val="9"/>
  </w:num>
  <w:num w:numId="9">
    <w:abstractNumId w:val="2"/>
  </w:num>
  <w:num w:numId="10">
    <w:abstractNumId w:val="0"/>
  </w:num>
  <w:num w:numId="11">
    <w:abstractNumId w:val="10"/>
  </w:num>
  <w:num w:numId="12">
    <w:abstractNumId w:val="5"/>
  </w:num>
  <w:num w:numId="13">
    <w:abstractNumId w:val="11"/>
  </w:num>
  <w:num w:numId="14">
    <w:abstractNumId w:val="8"/>
  </w:num>
  <w:num w:numId="15">
    <w:abstractNumId w:val="12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76EA"/>
    <w:rsid w:val="00042D16"/>
    <w:rsid w:val="000D20C2"/>
    <w:rsid w:val="000D34AC"/>
    <w:rsid w:val="00115B6C"/>
    <w:rsid w:val="001A30C5"/>
    <w:rsid w:val="00286C12"/>
    <w:rsid w:val="00286DB1"/>
    <w:rsid w:val="002D55DC"/>
    <w:rsid w:val="00304BB5"/>
    <w:rsid w:val="00350EAE"/>
    <w:rsid w:val="00355B63"/>
    <w:rsid w:val="003B5253"/>
    <w:rsid w:val="003F0D4F"/>
    <w:rsid w:val="0041725F"/>
    <w:rsid w:val="00483897"/>
    <w:rsid w:val="00543D7F"/>
    <w:rsid w:val="005532DE"/>
    <w:rsid w:val="00592415"/>
    <w:rsid w:val="005F48E8"/>
    <w:rsid w:val="00605B34"/>
    <w:rsid w:val="006653A6"/>
    <w:rsid w:val="00672AE5"/>
    <w:rsid w:val="00694A40"/>
    <w:rsid w:val="006D32CB"/>
    <w:rsid w:val="006F209D"/>
    <w:rsid w:val="007374CC"/>
    <w:rsid w:val="00755F4E"/>
    <w:rsid w:val="00836795"/>
    <w:rsid w:val="008905A5"/>
    <w:rsid w:val="008971C0"/>
    <w:rsid w:val="008C478E"/>
    <w:rsid w:val="008E045B"/>
    <w:rsid w:val="008F7E2F"/>
    <w:rsid w:val="00951020"/>
    <w:rsid w:val="009A1BA1"/>
    <w:rsid w:val="009A5A7C"/>
    <w:rsid w:val="00A11781"/>
    <w:rsid w:val="00A11F70"/>
    <w:rsid w:val="00AB3415"/>
    <w:rsid w:val="00B800AD"/>
    <w:rsid w:val="00B81EE3"/>
    <w:rsid w:val="00B9262B"/>
    <w:rsid w:val="00BD5613"/>
    <w:rsid w:val="00C01733"/>
    <w:rsid w:val="00C933E0"/>
    <w:rsid w:val="00CA7381"/>
    <w:rsid w:val="00CC5FA3"/>
    <w:rsid w:val="00D4578A"/>
    <w:rsid w:val="00D77229"/>
    <w:rsid w:val="00DA2D71"/>
    <w:rsid w:val="00DB7200"/>
    <w:rsid w:val="00E476EA"/>
    <w:rsid w:val="00E76105"/>
    <w:rsid w:val="00E81FC5"/>
    <w:rsid w:val="00F27056"/>
    <w:rsid w:val="00F460A8"/>
    <w:rsid w:val="00F5508D"/>
    <w:rsid w:val="00F97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32EBBB"/>
  <w15:docId w15:val="{24B05CA8-4800-422E-AD15-B82840431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Georgia" w:eastAsia="Georgia" w:hAnsi="Georgia" w:cs="Georgia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extoindependiente">
    <w:name w:val="Body Text"/>
    <w:basedOn w:val="Normal"/>
    <w:link w:val="TextoindependienteCar"/>
    <w:uiPriority w:val="1"/>
    <w:qFormat/>
    <w:rsid w:val="00543D7F"/>
    <w:pPr>
      <w:widowControl w:val="0"/>
      <w:autoSpaceDE w:val="0"/>
      <w:autoSpaceDN w:val="0"/>
    </w:pPr>
    <w:rPr>
      <w:rFonts w:ascii="Times New Roman" w:eastAsia="Times New Roman" w:hAnsi="Times New Roman" w:cs="Times New Roman"/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543D7F"/>
    <w:rPr>
      <w:rFonts w:ascii="Times New Roman" w:eastAsia="Times New Roman" w:hAnsi="Times New Roman" w:cs="Times New Roman"/>
      <w:lang w:val="en-US" w:eastAsia="en-US"/>
    </w:rPr>
  </w:style>
  <w:style w:type="paragraph" w:styleId="Textocomentario">
    <w:name w:val="annotation text"/>
    <w:basedOn w:val="Normal"/>
    <w:link w:val="TextocomentarioCar"/>
    <w:uiPriority w:val="99"/>
    <w:unhideWhenUsed/>
    <w:rsid w:val="00755F4E"/>
    <w:pPr>
      <w:spacing w:after="160"/>
    </w:pPr>
    <w:rPr>
      <w:rFonts w:asciiTheme="minorHAnsi" w:eastAsiaTheme="minorEastAsia" w:hAnsiTheme="minorHAnsi" w:cstheme="minorBidi"/>
      <w:sz w:val="20"/>
      <w:szCs w:val="20"/>
      <w:lang w:val="en-AU" w:eastAsia="zh-CN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55F4E"/>
    <w:rPr>
      <w:rFonts w:asciiTheme="minorHAnsi" w:eastAsiaTheme="minorEastAsia" w:hAnsiTheme="minorHAnsi" w:cstheme="minorBidi"/>
      <w:sz w:val="20"/>
      <w:szCs w:val="20"/>
      <w:lang w:val="en-AU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12</Pages>
  <Words>5109</Words>
  <Characters>28100</Characters>
  <Application>Microsoft Office Word</Application>
  <DocSecurity>0</DocSecurity>
  <Lines>234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Install MS Office 2019 Std 64 bits</Company>
  <LinksUpToDate>false</LinksUpToDate>
  <CharactersWithSpaces>33143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Felix Mendoza</cp:lastModifiedBy>
  <cp:revision>59</cp:revision>
  <dcterms:created xsi:type="dcterms:W3CDTF">2026-09-25T23:18:00Z</dcterms:created>
  <dcterms:modified xsi:type="dcterms:W3CDTF">2026-10-30T14:26:00Z</dcterms:modified>
</cp:coreProperties>
</file>