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3D7F" w:rsidRPr="00543D7F" w:rsidRDefault="00543D7F" w:rsidP="00543D7F">
      <w:pPr>
        <w:spacing w:after="200"/>
        <w:jc w:val="center"/>
        <w:rPr>
          <w:rFonts w:ascii="Times New Roman" w:hAnsi="Times New Roman" w:cs="Times New Roman"/>
        </w:rPr>
      </w:pPr>
    </w:p>
    <w:p w:rsidR="00543D7F" w:rsidRPr="00543D7F" w:rsidRDefault="00543D7F" w:rsidP="00543D7F">
      <w:pPr>
        <w:spacing w:before="57" w:line="360" w:lineRule="auto"/>
        <w:ind w:left="307" w:right="308"/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noProof/>
          <w:sz w:val="40"/>
          <w:lang w:val="en-US" w:eastAsia="en-US"/>
        </w:rPr>
        <w:drawing>
          <wp:anchor distT="0" distB="0" distL="0" distR="0" simplePos="0" relativeHeight="251659264" behindDoc="1" locked="0" layoutInCell="1" allowOverlap="1" wp14:anchorId="4D8FBA0F" wp14:editId="1DE19D81">
            <wp:simplePos x="0" y="0"/>
            <wp:positionH relativeFrom="page">
              <wp:posOffset>3190875</wp:posOffset>
            </wp:positionH>
            <wp:positionV relativeFrom="paragraph">
              <wp:posOffset>937767</wp:posOffset>
            </wp:positionV>
            <wp:extent cx="1384950" cy="1613916"/>
            <wp:effectExtent l="0" t="0" r="0" b="0"/>
            <wp:wrapTopAndBottom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4950" cy="1613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40"/>
        </w:rPr>
        <w:t>UNIVERSIDAD</w:t>
      </w:r>
      <w:r>
        <w:rPr>
          <w:rFonts w:ascii="Times New Roman" w:hAnsi="Times New Roman" w:cs="Times New Roman"/>
          <w:b/>
          <w:spacing w:val="-10"/>
          <w:sz w:val="40"/>
        </w:rPr>
        <w:t xml:space="preserve"> </w:t>
      </w:r>
      <w:r>
        <w:rPr>
          <w:rFonts w:ascii="Times New Roman" w:hAnsi="Times New Roman" w:cs="Times New Roman"/>
          <w:b/>
          <w:sz w:val="40"/>
        </w:rPr>
        <w:t>NACIONAL</w:t>
      </w:r>
      <w:r>
        <w:rPr>
          <w:rFonts w:ascii="Times New Roman" w:hAnsi="Times New Roman" w:cs="Times New Roman"/>
          <w:b/>
          <w:spacing w:val="-10"/>
          <w:sz w:val="40"/>
        </w:rPr>
        <w:t xml:space="preserve"> </w:t>
      </w:r>
      <w:r>
        <w:rPr>
          <w:rFonts w:ascii="Times New Roman" w:hAnsi="Times New Roman" w:cs="Times New Roman"/>
          <w:b/>
          <w:sz w:val="40"/>
        </w:rPr>
        <w:t>MAYOR</w:t>
      </w:r>
      <w:r>
        <w:rPr>
          <w:rFonts w:ascii="Times New Roman" w:hAnsi="Times New Roman" w:cs="Times New Roman"/>
          <w:b/>
          <w:spacing w:val="-12"/>
          <w:sz w:val="40"/>
        </w:rPr>
        <w:t xml:space="preserve"> </w:t>
      </w:r>
      <w:r>
        <w:rPr>
          <w:rFonts w:ascii="Times New Roman" w:hAnsi="Times New Roman" w:cs="Times New Roman"/>
          <w:b/>
          <w:sz w:val="40"/>
        </w:rPr>
        <w:t>DE</w:t>
      </w:r>
      <w:r>
        <w:rPr>
          <w:rFonts w:ascii="Times New Roman" w:hAnsi="Times New Roman" w:cs="Times New Roman"/>
          <w:b/>
          <w:spacing w:val="-10"/>
          <w:sz w:val="40"/>
        </w:rPr>
        <w:t xml:space="preserve"> </w:t>
      </w:r>
      <w:r>
        <w:rPr>
          <w:rFonts w:ascii="Times New Roman" w:hAnsi="Times New Roman" w:cs="Times New Roman"/>
          <w:b/>
          <w:sz w:val="40"/>
        </w:rPr>
        <w:t xml:space="preserve">SAN </w:t>
      </w:r>
      <w:r>
        <w:rPr>
          <w:rFonts w:ascii="Times New Roman" w:hAnsi="Times New Roman" w:cs="Times New Roman"/>
          <w:b/>
          <w:spacing w:val="-2"/>
          <w:sz w:val="40"/>
        </w:rPr>
        <w:t>MARCOS</w:t>
      </w:r>
    </w:p>
    <w:p w:rsidR="00543D7F" w:rsidRPr="001A30C5" w:rsidRDefault="00543D7F" w:rsidP="00543D7F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>Doctoral</w:t>
      </w:r>
      <w:r>
        <w:rPr>
          <w:rFonts w:ascii="Times New Roman" w:hAnsi="Times New Roman" w:cs="Times New Roman"/>
          <w:color w:val="auto"/>
          <w:spacing w:val="-7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lang w:val="en-US"/>
        </w:rPr>
        <w:t>Program</w:t>
      </w:r>
      <w:r>
        <w:rPr>
          <w:rFonts w:ascii="Times New Roman" w:hAnsi="Times New Roman" w:cs="Times New Roman"/>
          <w:color w:val="auto"/>
          <w:spacing w:val="-8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lang w:val="en-US"/>
        </w:rPr>
        <w:t>in</w:t>
      </w:r>
      <w:r>
        <w:rPr>
          <w:rFonts w:ascii="Times New Roman" w:hAnsi="Times New Roman" w:cs="Times New Roman"/>
          <w:color w:val="auto"/>
          <w:spacing w:val="-9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lang w:val="en-US"/>
        </w:rPr>
        <w:t>Deep</w:t>
      </w:r>
      <w:r>
        <w:rPr>
          <w:rFonts w:ascii="Times New Roman" w:hAnsi="Times New Roman" w:cs="Times New Roman"/>
          <w:color w:val="auto"/>
          <w:spacing w:val="-9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lang w:val="en-US"/>
        </w:rPr>
        <w:t>Tech,</w:t>
      </w:r>
      <w:r>
        <w:rPr>
          <w:rFonts w:ascii="Times New Roman" w:hAnsi="Times New Roman" w:cs="Times New Roman"/>
          <w:color w:val="auto"/>
          <w:spacing w:val="-8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lang w:val="en-US"/>
        </w:rPr>
        <w:t>Artificial Intelligence &amp; Emerging Technologies</w:t>
      </w:r>
    </w:p>
    <w:p w:rsidR="00543D7F" w:rsidRPr="00543D7F" w:rsidRDefault="00543D7F" w:rsidP="00543D7F">
      <w:pPr>
        <w:pStyle w:val="Textoindependiente"/>
        <w:spacing w:before="104"/>
        <w:jc w:val="center"/>
        <w:rPr>
          <w:b/>
          <w:sz w:val="48"/>
        </w:rPr>
      </w:pPr>
    </w:p>
    <w:p w:rsidR="00543D7F" w:rsidRPr="001A30C5" w:rsidRDefault="00543D7F" w:rsidP="00543D7F">
      <w:pPr>
        <w:spacing w:line="360" w:lineRule="auto"/>
        <w:ind w:left="307" w:right="308"/>
        <w:jc w:val="center"/>
        <w:rPr>
          <w:rFonts w:ascii="Times New Roman" w:hAnsi="Times New Roman" w:cs="Times New Roman"/>
          <w:b/>
          <w:sz w:val="40"/>
          <w:lang w:val="en-US"/>
        </w:rPr>
      </w:pPr>
      <w:r>
        <w:rPr>
          <w:rFonts w:ascii="Times New Roman" w:hAnsi="Times New Roman" w:cs="Times New Roman"/>
          <w:b/>
          <w:sz w:val="40"/>
          <w:lang w:val="en-US"/>
        </w:rPr>
        <w:t>Research</w:t>
      </w:r>
      <w:r>
        <w:rPr>
          <w:rFonts w:ascii="Times New Roman" w:hAnsi="Times New Roman" w:cs="Times New Roman"/>
          <w:b/>
          <w:spacing w:val="-7"/>
          <w:sz w:val="40"/>
          <w:lang w:val="en-US"/>
        </w:rPr>
        <w:t xml:space="preserve"> </w:t>
      </w:r>
      <w:r>
        <w:rPr>
          <w:rFonts w:ascii="Times New Roman" w:hAnsi="Times New Roman" w:cs="Times New Roman"/>
          <w:b/>
          <w:sz w:val="40"/>
          <w:lang w:val="en-US"/>
        </w:rPr>
        <w:t>Methods</w:t>
      </w:r>
      <w:r>
        <w:rPr>
          <w:rFonts w:ascii="Times New Roman" w:hAnsi="Times New Roman" w:cs="Times New Roman"/>
          <w:b/>
          <w:spacing w:val="-7"/>
          <w:sz w:val="40"/>
          <w:lang w:val="en-US"/>
        </w:rPr>
        <w:t xml:space="preserve"> </w:t>
      </w:r>
      <w:r>
        <w:rPr>
          <w:rFonts w:ascii="Times New Roman" w:hAnsi="Times New Roman" w:cs="Times New Roman"/>
          <w:b/>
          <w:sz w:val="40"/>
          <w:lang w:val="en-US"/>
        </w:rPr>
        <w:t>and</w:t>
      </w:r>
      <w:r>
        <w:rPr>
          <w:rFonts w:ascii="Times New Roman" w:hAnsi="Times New Roman" w:cs="Times New Roman"/>
          <w:b/>
          <w:spacing w:val="-7"/>
          <w:sz w:val="40"/>
          <w:lang w:val="en-US"/>
        </w:rPr>
        <w:t xml:space="preserve"> </w:t>
      </w:r>
      <w:r>
        <w:rPr>
          <w:rFonts w:ascii="Times New Roman" w:hAnsi="Times New Roman" w:cs="Times New Roman"/>
          <w:b/>
          <w:sz w:val="40"/>
          <w:lang w:val="en-US"/>
        </w:rPr>
        <w:t>Scientific</w:t>
      </w:r>
      <w:r>
        <w:rPr>
          <w:rFonts w:ascii="Times New Roman" w:hAnsi="Times New Roman" w:cs="Times New Roman"/>
          <w:b/>
          <w:spacing w:val="-7"/>
          <w:sz w:val="40"/>
          <w:lang w:val="en-US"/>
        </w:rPr>
        <w:t xml:space="preserve"> </w:t>
      </w:r>
      <w:r>
        <w:rPr>
          <w:rFonts w:ascii="Times New Roman" w:hAnsi="Times New Roman" w:cs="Times New Roman"/>
          <w:b/>
          <w:sz w:val="40"/>
          <w:lang w:val="en-US"/>
        </w:rPr>
        <w:t>Integrity</w:t>
      </w:r>
      <w:r>
        <w:rPr>
          <w:rFonts w:ascii="Times New Roman" w:hAnsi="Times New Roman" w:cs="Times New Roman"/>
          <w:b/>
          <w:spacing w:val="-5"/>
          <w:sz w:val="40"/>
          <w:lang w:val="en-US"/>
        </w:rPr>
        <w:t xml:space="preserve"> </w:t>
      </w:r>
      <w:r>
        <w:rPr>
          <w:rFonts w:ascii="Times New Roman" w:hAnsi="Times New Roman" w:cs="Times New Roman"/>
          <w:b/>
          <w:sz w:val="40"/>
          <w:lang w:val="en-US"/>
        </w:rPr>
        <w:t>in</w:t>
      </w:r>
      <w:r>
        <w:rPr>
          <w:rFonts w:ascii="Times New Roman" w:hAnsi="Times New Roman" w:cs="Times New Roman"/>
          <w:b/>
          <w:spacing w:val="-5"/>
          <w:sz w:val="40"/>
          <w:lang w:val="en-US"/>
        </w:rPr>
        <w:t xml:space="preserve"> </w:t>
      </w:r>
      <w:r>
        <w:rPr>
          <w:rFonts w:ascii="Times New Roman" w:hAnsi="Times New Roman" w:cs="Times New Roman"/>
          <w:b/>
          <w:sz w:val="40"/>
          <w:lang w:val="en-US"/>
        </w:rPr>
        <w:t>AI and Advanced Technologies</w:t>
      </w:r>
    </w:p>
    <w:p w:rsidR="00543D7F" w:rsidRPr="001A30C5" w:rsidRDefault="002C130B" w:rsidP="00543D7F">
      <w:pPr>
        <w:spacing w:before="381" w:line="391" w:lineRule="auto"/>
        <w:ind w:right="4"/>
        <w:jc w:val="center"/>
        <w:rPr>
          <w:rFonts w:ascii="Times New Roman" w:hAnsi="Times New Roman" w:cs="Times New Roman"/>
          <w:b/>
          <w:sz w:val="27"/>
          <w:lang w:val="en-US"/>
        </w:rPr>
      </w:pPr>
      <w:r>
        <w:rPr>
          <w:rFonts w:ascii="Times New Roman" w:hAnsi="Times New Roman" w:cs="Times New Roman"/>
          <w:b/>
          <w:sz w:val="27"/>
          <w:lang w:val="en-US"/>
        </w:rPr>
        <w:t xml:space="preserve">DELIVERABLE No. </w:t>
      </w:r>
      <w:r w:rsidR="00D7241D">
        <w:rPr>
          <w:rFonts w:ascii="Times New Roman" w:hAnsi="Times New Roman" w:cs="Times New Roman"/>
          <w:b/>
          <w:sz w:val="27"/>
          <w:lang w:val="en-US"/>
        </w:rPr>
        <w:t>7</w:t>
      </w:r>
      <w:r>
        <w:rPr>
          <w:rFonts w:ascii="Times New Roman" w:hAnsi="Times New Roman" w:cs="Times New Roman"/>
          <w:b/>
          <w:sz w:val="27"/>
          <w:lang w:val="en-US"/>
        </w:rPr>
        <w:t xml:space="preserve">: </w:t>
      </w:r>
      <w:r w:rsidR="00D7241D" w:rsidRPr="00D7241D">
        <w:rPr>
          <w:rFonts w:ascii="Times New Roman" w:hAnsi="Times New Roman" w:cs="Times New Roman"/>
          <w:b/>
          <w:sz w:val="27"/>
          <w:lang w:val="en-US"/>
        </w:rPr>
        <w:t>Model Card &amp; Datasheet</w:t>
      </w:r>
    </w:p>
    <w:p w:rsidR="00543D7F" w:rsidRPr="00543D7F" w:rsidRDefault="00543D7F" w:rsidP="00543D7F">
      <w:pPr>
        <w:pStyle w:val="Textoindependiente"/>
        <w:jc w:val="center"/>
        <w:rPr>
          <w:b/>
          <w:sz w:val="27"/>
        </w:rPr>
      </w:pPr>
    </w:p>
    <w:p w:rsidR="00543D7F" w:rsidRPr="00543D7F" w:rsidRDefault="00543D7F" w:rsidP="00543D7F">
      <w:pPr>
        <w:pStyle w:val="Textoindependiente"/>
        <w:spacing w:before="131"/>
        <w:jc w:val="center"/>
        <w:rPr>
          <w:b/>
          <w:sz w:val="27"/>
        </w:rPr>
      </w:pPr>
    </w:p>
    <w:p w:rsidR="00543D7F" w:rsidRPr="001A30C5" w:rsidRDefault="00543D7F" w:rsidP="00543D7F">
      <w:pPr>
        <w:tabs>
          <w:tab w:val="left" w:pos="3204"/>
        </w:tabs>
        <w:ind w:left="530"/>
        <w:jc w:val="center"/>
        <w:rPr>
          <w:rFonts w:ascii="Times New Roman" w:hAnsi="Times New Roman" w:cs="Times New Roman"/>
          <w:b/>
          <w:sz w:val="27"/>
          <w:lang w:val="en-US"/>
        </w:rPr>
      </w:pPr>
      <w:r>
        <w:rPr>
          <w:rFonts w:ascii="Times New Roman" w:hAnsi="Times New Roman" w:cs="Times New Roman"/>
          <w:b/>
          <w:sz w:val="27"/>
          <w:lang w:val="en-US"/>
        </w:rPr>
        <w:t>Course</w:t>
      </w:r>
      <w:r>
        <w:rPr>
          <w:rFonts w:ascii="Times New Roman" w:hAnsi="Times New Roman" w:cs="Times New Roman"/>
          <w:b/>
          <w:spacing w:val="-3"/>
          <w:sz w:val="27"/>
          <w:lang w:val="en-US"/>
        </w:rPr>
        <w:t xml:space="preserve"> </w:t>
      </w:r>
      <w:r>
        <w:rPr>
          <w:rFonts w:ascii="Times New Roman" w:hAnsi="Times New Roman" w:cs="Times New Roman"/>
          <w:b/>
          <w:spacing w:val="-2"/>
          <w:sz w:val="27"/>
          <w:lang w:val="en-US"/>
        </w:rPr>
        <w:t>Instructor</w:t>
      </w:r>
      <w:r>
        <w:rPr>
          <w:rFonts w:ascii="Times New Roman" w:hAnsi="Times New Roman" w:cs="Times New Roman"/>
          <w:b/>
          <w:sz w:val="27"/>
          <w:lang w:val="en-US"/>
        </w:rPr>
        <w:t>: Dr.</w:t>
      </w:r>
      <w:r>
        <w:rPr>
          <w:rFonts w:ascii="Times New Roman" w:hAnsi="Times New Roman" w:cs="Times New Roman"/>
          <w:b/>
          <w:spacing w:val="-5"/>
          <w:sz w:val="27"/>
          <w:lang w:val="en-US"/>
        </w:rPr>
        <w:t xml:space="preserve"> </w:t>
      </w:r>
      <w:r>
        <w:rPr>
          <w:rFonts w:ascii="Times New Roman" w:hAnsi="Times New Roman" w:cs="Times New Roman"/>
          <w:b/>
          <w:sz w:val="27"/>
          <w:lang w:val="en-US"/>
        </w:rPr>
        <w:t>Loveleen</w:t>
      </w:r>
      <w:r>
        <w:rPr>
          <w:rFonts w:ascii="Times New Roman" w:hAnsi="Times New Roman" w:cs="Times New Roman"/>
          <w:b/>
          <w:spacing w:val="-6"/>
          <w:sz w:val="27"/>
          <w:lang w:val="en-US"/>
        </w:rPr>
        <w:t xml:space="preserve"> </w:t>
      </w:r>
      <w:r>
        <w:rPr>
          <w:rFonts w:ascii="Times New Roman" w:hAnsi="Times New Roman" w:cs="Times New Roman"/>
          <w:b/>
          <w:spacing w:val="-4"/>
          <w:sz w:val="27"/>
          <w:lang w:val="en-US"/>
        </w:rPr>
        <w:t>Gaur</w:t>
      </w:r>
    </w:p>
    <w:p w:rsidR="00543D7F" w:rsidRPr="00543D7F" w:rsidRDefault="00543D7F" w:rsidP="00543D7F">
      <w:pPr>
        <w:pStyle w:val="Textoindependiente"/>
        <w:spacing w:before="133"/>
        <w:jc w:val="center"/>
        <w:rPr>
          <w:b/>
          <w:sz w:val="27"/>
        </w:rPr>
      </w:pPr>
    </w:p>
    <w:p w:rsidR="00543D7F" w:rsidRPr="002C130B" w:rsidRDefault="00543D7F" w:rsidP="00543D7F">
      <w:pPr>
        <w:tabs>
          <w:tab w:val="left" w:pos="3204"/>
        </w:tabs>
        <w:ind w:left="530"/>
        <w:jc w:val="center"/>
        <w:rPr>
          <w:rFonts w:ascii="Times New Roman" w:hAnsi="Times New Roman" w:cs="Times New Roman"/>
          <w:b/>
          <w:sz w:val="27"/>
          <w:lang w:val="en-US"/>
        </w:rPr>
      </w:pPr>
      <w:r>
        <w:rPr>
          <w:rFonts w:ascii="Times New Roman" w:hAnsi="Times New Roman" w:cs="Times New Roman"/>
          <w:b/>
          <w:spacing w:val="-2"/>
          <w:sz w:val="27"/>
          <w:lang w:val="en-US"/>
        </w:rPr>
        <w:t>Student:</w:t>
      </w:r>
      <w:r>
        <w:rPr>
          <w:rFonts w:ascii="Times New Roman" w:hAnsi="Times New Roman" w:cs="Times New Roman"/>
          <w:b/>
          <w:sz w:val="27"/>
          <w:lang w:val="en-US"/>
        </w:rPr>
        <w:t xml:space="preserve"> Félix Richar Mendoza Pumacahua</w:t>
      </w:r>
    </w:p>
    <w:p w:rsidR="00543D7F" w:rsidRPr="002C130B" w:rsidRDefault="00543D7F" w:rsidP="00543D7F">
      <w:pPr>
        <w:pStyle w:val="Textoindependiente"/>
        <w:jc w:val="center"/>
        <w:rPr>
          <w:b/>
          <w:sz w:val="27"/>
        </w:rPr>
      </w:pPr>
    </w:p>
    <w:p w:rsidR="00543D7F" w:rsidRPr="002C130B" w:rsidRDefault="00543D7F" w:rsidP="00543D7F">
      <w:pPr>
        <w:pStyle w:val="Textoindependiente"/>
        <w:jc w:val="center"/>
        <w:rPr>
          <w:b/>
          <w:sz w:val="27"/>
        </w:rPr>
      </w:pPr>
    </w:p>
    <w:p w:rsidR="00543D7F" w:rsidRPr="002C130B" w:rsidRDefault="00543D7F" w:rsidP="00543D7F">
      <w:pPr>
        <w:pStyle w:val="Textoindependiente"/>
        <w:spacing w:before="270"/>
        <w:jc w:val="center"/>
        <w:rPr>
          <w:b/>
          <w:sz w:val="27"/>
        </w:rPr>
      </w:pPr>
    </w:p>
    <w:p w:rsidR="00543D7F" w:rsidRPr="00D7241D" w:rsidRDefault="00543D7F" w:rsidP="00543D7F">
      <w:pPr>
        <w:pStyle w:val="Ttulo2"/>
        <w:jc w:val="center"/>
        <w:rPr>
          <w:rFonts w:ascii="Times New Roman" w:hAnsi="Times New Roman" w:cs="Times New Roman"/>
          <w:color w:val="auto"/>
          <w:lang w:val="en-US"/>
        </w:rPr>
      </w:pPr>
      <w:r w:rsidRPr="00D7241D">
        <w:rPr>
          <w:rFonts w:ascii="Times New Roman" w:hAnsi="Times New Roman" w:cs="Times New Roman"/>
          <w:color w:val="auto"/>
          <w:lang w:val="en-US"/>
        </w:rPr>
        <w:t>2026</w:t>
      </w:r>
      <w:r w:rsidRPr="00D7241D">
        <w:rPr>
          <w:rFonts w:ascii="Times New Roman" w:hAnsi="Times New Roman" w:cs="Times New Roman"/>
          <w:color w:val="auto"/>
          <w:spacing w:val="-2"/>
          <w:lang w:val="en-US"/>
        </w:rPr>
        <w:t xml:space="preserve"> </w:t>
      </w:r>
      <w:r w:rsidRPr="00D7241D">
        <w:rPr>
          <w:rFonts w:ascii="Times New Roman" w:hAnsi="Times New Roman" w:cs="Times New Roman"/>
          <w:color w:val="auto"/>
          <w:lang w:val="en-US"/>
        </w:rPr>
        <w:t>-</w:t>
      </w:r>
      <w:r w:rsidRPr="00D7241D">
        <w:rPr>
          <w:rFonts w:ascii="Times New Roman" w:hAnsi="Times New Roman" w:cs="Times New Roman"/>
          <w:color w:val="auto"/>
          <w:spacing w:val="-1"/>
          <w:lang w:val="en-US"/>
        </w:rPr>
        <w:t xml:space="preserve"> </w:t>
      </w:r>
      <w:r w:rsidRPr="00D7241D">
        <w:rPr>
          <w:rFonts w:ascii="Times New Roman" w:hAnsi="Times New Roman" w:cs="Times New Roman"/>
          <w:color w:val="auto"/>
          <w:spacing w:val="-5"/>
          <w:lang w:val="en-US"/>
        </w:rPr>
        <w:t>II</w:t>
      </w:r>
    </w:p>
    <w:p w:rsidR="00543D7F" w:rsidRPr="00D7241D" w:rsidRDefault="00543D7F">
      <w:pPr>
        <w:spacing w:after="200"/>
        <w:jc w:val="center"/>
        <w:rPr>
          <w:lang w:val="en-US"/>
        </w:rPr>
      </w:pPr>
    </w:p>
    <w:p w:rsidR="00543D7F" w:rsidRPr="00D7241D" w:rsidRDefault="00543D7F">
      <w:pPr>
        <w:rPr>
          <w:lang w:val="en-US"/>
        </w:rPr>
      </w:pPr>
      <w:r w:rsidRPr="00D7241D">
        <w:rPr>
          <w:lang w:val="en-US"/>
        </w:rPr>
        <w:br w:type="page"/>
      </w:r>
    </w:p>
    <w:p>
      <w:pPr>
        <w:pStyle w:val="Ttulo1"/>
        <w:spacing w:before="0" w:after="140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Entregable 7: Model Card &amp; Datasheet</w:t>
      </w:r>
    </w:p>
    <w:p>
      <w:pPr>
        <w:spacing w:before="0" w:after="100" w:line="252" w:lineRule="auto"/>
        <w:jc w:val="both"/>
      </w:pP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Esta entrega corresponde al </w:t>
      </w:r>
      <w:r>
        <w:rPr>
          <w:rFonts w:ascii="Times New Roman" w:eastAsia="Times New Roman" w:hAnsi="Times New Roman" w:cs="Times New Roman"/>
          <w:b/>
          <w:bCs/>
          <w:sz w:val="22"/>
          <w:szCs w:val="22"/>
          <w:lang w:val="es-PE"/>
        </w:rPr>
        <w:t xml:space="preserve">Entregable 7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 y comprende la documentación técnica del modelo de clasificación y del conjunto de datos utilizado en el experimento. El detalle del alcance, la estructura y el contenido de los documentos se encuentra en el archivo </w:t>
      </w:r>
      <w:r>
        <w:rPr>
          <w:rFonts w:ascii="Courier New" w:eastAsia="Courier New" w:hAnsi="Courier New" w:cs="Courier New"/>
          <w:sz w:val="21"/>
          <w:szCs w:val="21"/>
          <w:lang w:val="es-PE"/>
        </w:rPr>
        <w:t xml:space="preserve">README.md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 del repositorio.</w:t>
      </w:r>
    </w:p>
    <w:p>
      <w:pPr>
        <w:keepNext/>
        <w:spacing w:before="140" w:after="60" w:line="252" w:lineRule="auto"/>
        <w:jc w:val="left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Aegis Content-Safety Input Guardrail — Model Card &amp; Datasheet</w:t>
      </w:r>
    </w:p>
    <w:p>
      <w:pPr>
        <w:spacing w:before="0" w:after="100" w:line="252" w:lineRule="auto"/>
        <w:jc w:val="both"/>
      </w:pP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Este repositorio contiene un ejercicio de machine learning de principio a fin, orientado a clasificar textos como </w:t>
      </w:r>
      <w:r>
        <w:rPr>
          <w:rFonts w:ascii="Times New Roman" w:eastAsia="Times New Roman" w:hAnsi="Times New Roman" w:cs="Times New Roman"/>
          <w:sz w:val="22"/>
          <w:szCs w:val="22"/>
          <w:lang w:val="es-PE"/>
          <w:i/>
          <w:iCs/>
        </w:rPr>
        <w:t xml:space="preserve">seguros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 o </w:t>
      </w:r>
      <w:r>
        <w:rPr>
          <w:rFonts w:ascii="Times New Roman" w:eastAsia="Times New Roman" w:hAnsi="Times New Roman" w:cs="Times New Roman"/>
          <w:sz w:val="22"/>
          <w:szCs w:val="22"/>
          <w:lang w:val="es-PE"/>
          <w:i/>
          <w:iCs/>
        </w:rPr>
        <w:t xml:space="preserve">inseguros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 (</w:t>
      </w:r>
      <w:r>
        <w:rPr>
          <w:rFonts w:ascii="Times New Roman" w:eastAsia="Times New Roman" w:hAnsi="Times New Roman" w:cs="Times New Roman"/>
          <w:sz w:val="22"/>
          <w:szCs w:val="22"/>
          <w:lang w:val="es-PE"/>
          <w:i/>
          <w:iCs/>
        </w:rPr>
        <w:t xml:space="preserve">safe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 / </w:t>
      </w:r>
      <w:r>
        <w:rPr>
          <w:rFonts w:ascii="Times New Roman" w:eastAsia="Times New Roman" w:hAnsi="Times New Roman" w:cs="Times New Roman"/>
          <w:sz w:val="22"/>
          <w:szCs w:val="22"/>
          <w:lang w:val="es-PE"/>
          <w:i/>
          <w:iCs/>
        </w:rPr>
        <w:t xml:space="preserve">unsafe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) mediante un clasificador ligero TF-IDF + regresión logística, equivalente a la «primera capa rápida» de un guardrail de entrada de dos capas (Moraes et al., 2026). El modelo se entrena y se evalúa con el </w:t>
      </w:r>
      <w:r>
        <w:rPr>
          <w:rFonts w:ascii="Times New Roman" w:eastAsia="Times New Roman" w:hAnsi="Times New Roman" w:cs="Times New Roman"/>
          <w:sz w:val="22"/>
          <w:szCs w:val="22"/>
          <w:lang w:val="es-PE"/>
          <w:i/>
          <w:iCs/>
        </w:rPr>
        <w:t xml:space="preserve">Aegis AI Content Safety Dataset 1.0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 (NVIDIA; Ghosh et al., 2024). Es un ejercicio de documentación con fines educativos: no es un filtro de seguridad para producción ni un detector de jailbreaks.</w:t>
      </w:r>
    </w:p>
    <w:p>
      <w:pPr>
        <w:spacing w:before="0" w:after="80" w:line="252" w:lineRule="auto"/>
        <w:jc w:val="both"/>
      </w:pP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El repositorio incluye los </w:t>
      </w:r>
      <w:r>
        <w:rPr>
          <w:rFonts w:ascii="Times New Roman" w:eastAsia="Times New Roman" w:hAnsi="Times New Roman" w:cs="Times New Roman"/>
          <w:sz w:val="22"/>
          <w:szCs w:val="22"/>
          <w:lang w:val="es-PE"/>
          <w:i/>
          <w:iCs/>
        </w:rPr>
        <w:t xml:space="preserve">notebooks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 del experimento (versión v2, en español y en inglés) y los dos artefactos de documentación requeridos por el curso, también en ambos idiomas:</w:t>
      </w:r>
    </w:p>
    <w:tbl>
      <w:tblPr>
        <w:tblW w:w="984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</w:tblPr>
      <w:tblGrid>
        <w:gridCol w:w="2400"/>
        <w:gridCol w:w="3000"/>
        <w:gridCol w:w="1200"/>
        <w:gridCol w:w="3240"/>
      </w:tblGrid>
      <w:tr>
        <w:trPr>
          <w:cantSplit/>
        </w:trPr>
        <w:tc>
          <w:tcPr>
            <w:tcW w:w="2400" w:type="dxa"/>
            <w:shd w:val="clear" w:color="auto" w:fill="E7E6E6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PE"/>
              </w:rPr>
              <w:t xml:space="preserve">Documento</w:t>
            </w:r>
          </w:p>
        </w:tc>
        <w:tc>
          <w:tcPr>
            <w:tcW w:w="3000" w:type="dxa"/>
            <w:shd w:val="clear" w:color="auto" w:fill="E7E6E6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PE"/>
              </w:rPr>
              <w:t xml:space="preserve">Estándar de referencia</w:t>
            </w:r>
          </w:p>
        </w:tc>
        <w:tc>
          <w:tcPr>
            <w:tcW w:w="1200" w:type="dxa"/>
            <w:shd w:val="clear" w:color="auto" w:fill="E7E6E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PE"/>
              </w:rPr>
              <w:t xml:space="preserve">Secciones</w:t>
            </w:r>
          </w:p>
        </w:tc>
        <w:tc>
          <w:tcPr>
            <w:tcW w:w="3240" w:type="dxa"/>
            <w:shd w:val="clear" w:color="auto" w:fill="E7E6E6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PE"/>
              </w:rPr>
              <w:t xml:space="preserve">Archivo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s-PE"/>
              </w:rPr>
              <w:t xml:space="preserve">Model Card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s-PE"/>
              </w:rPr>
              <w:t xml:space="preserve">Mitchell et al. (2019)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s-PE"/>
              </w:rPr>
              <w:t xml:space="preserve">9</w:t>
            </w:r>
          </w:p>
        </w:tc>
        <w:tc>
          <w:tcPr>
            <w:tcW w:w="324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urier New" w:eastAsia="Courier New" w:hAnsi="Courier New" w:cs="Courier New"/>
                <w:sz w:val="21"/>
                <w:szCs w:val="21"/>
                <w:lang w:val="es-PE"/>
              </w:rPr>
              <w:t xml:space="preserve">model_card_V2_ESP.md</w:t>
            </w:r>
            <w:r>
              <w:rPr>
                <w:rFonts w:ascii="Courier New" w:eastAsia="Courier New" w:hAnsi="Courier New" w:cs="Courier New"/>
                <w:sz w:val="21"/>
                <w:szCs w:val="21"/>
                <w:lang w:val="es-PE"/>
              </w:rPr>
              <w:br/>
              <w:t xml:space="preserve">model_card_V2_ENG.md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s-PE"/>
              </w:rPr>
              <w:t xml:space="preserve">Datasheet for Datasets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s-PE"/>
              </w:rPr>
              <w:t xml:space="preserve">Gebru et al. (2021)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s-PE"/>
              </w:rPr>
              <w:t xml:space="preserve">7</w:t>
            </w:r>
          </w:p>
        </w:tc>
        <w:tc>
          <w:tcPr>
            <w:tcW w:w="324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urier New" w:eastAsia="Courier New" w:hAnsi="Courier New" w:cs="Courier New"/>
                <w:sz w:val="21"/>
                <w:szCs w:val="21"/>
                <w:lang w:val="es-PE"/>
              </w:rPr>
              <w:t xml:space="preserve">datasheet_V2_ESP.md</w:t>
            </w:r>
            <w:r>
              <w:rPr>
                <w:rFonts w:ascii="Courier New" w:eastAsia="Courier New" w:hAnsi="Courier New" w:cs="Courier New"/>
                <w:sz w:val="21"/>
                <w:szCs w:val="21"/>
                <w:lang w:val="es-PE"/>
              </w:rPr>
              <w:br/>
              <w:t xml:space="preserve">datasheet_V2_ENG.md</w:t>
            </w:r>
          </w:p>
        </w:tc>
      </w:tr>
    </w:tbl>
    <w:p>
      <w:pPr>
        <w:keepNext/>
        <w:spacing w:before="140" w:after="60" w:line="252" w:lineRule="auto"/>
        <w:jc w:val="left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Contenido del repositorio</w:t>
      </w:r>
    </w:p>
    <w:p>
      <w:pPr>
        <w:spacing w:before="0" w:after="0" w:line="252" w:lineRule="auto"/>
        <w:ind w:left="360"/>
        <w:jc w:val="left"/>
      </w:pPr>
      <w:r>
        <w:rPr>
          <w:rFonts w:ascii="Courier New" w:eastAsia="Courier New" w:hAnsi="Courier New" w:cs="Courier New"/>
          <w:sz w:val="20"/>
          <w:szCs w:val="20"/>
          <w:lang w:val="es-PE"/>
        </w:rPr>
        <w:t xml:space="preserve">.</w:t>
      </w:r>
    </w:p>
    <w:p>
      <w:pPr>
        <w:spacing w:before="0" w:after="0" w:line="252" w:lineRule="auto"/>
        <w:ind w:left="360"/>
        <w:jc w:val="left"/>
      </w:pPr>
      <w:r>
        <w:rPr>
          <w:rFonts w:ascii="Courier New" w:eastAsia="Courier New" w:hAnsi="Courier New" w:cs="Courier New"/>
          <w:sz w:val="20"/>
          <w:szCs w:val="20"/>
          <w:lang w:val="es-PE"/>
        </w:rPr>
        <w:t xml:space="preserve">├── README.md</w:t>
      </w:r>
    </w:p>
    <w:p>
      <w:pPr>
        <w:spacing w:before="0" w:after="0" w:line="252" w:lineRule="auto"/>
        <w:ind w:left="360"/>
        <w:jc w:val="left"/>
      </w:pPr>
      <w:r>
        <w:rPr>
          <w:rFonts w:ascii="Courier New" w:eastAsia="Courier New" w:hAnsi="Courier New" w:cs="Courier New"/>
          <w:sz w:val="20"/>
          <w:szCs w:val="20"/>
          <w:lang w:val="es-PE"/>
        </w:rPr>
        <w:t xml:space="preserve">├── model_card_V2_ESP.md</w:t>
      </w:r>
    </w:p>
    <w:p>
      <w:pPr>
        <w:spacing w:before="0" w:after="0" w:line="252" w:lineRule="auto"/>
        <w:ind w:left="360"/>
        <w:jc w:val="left"/>
      </w:pPr>
      <w:r>
        <w:rPr>
          <w:rFonts w:ascii="Courier New" w:eastAsia="Courier New" w:hAnsi="Courier New" w:cs="Courier New"/>
          <w:sz w:val="20"/>
          <w:szCs w:val="20"/>
          <w:lang w:val="es-PE"/>
        </w:rPr>
        <w:t xml:space="preserve">├── model_card_V2_ENG.md</w:t>
      </w:r>
    </w:p>
    <w:p>
      <w:pPr>
        <w:spacing w:before="0" w:after="0" w:line="252" w:lineRule="auto"/>
        <w:ind w:left="360"/>
        <w:jc w:val="left"/>
      </w:pPr>
      <w:r>
        <w:rPr>
          <w:rFonts w:ascii="Courier New" w:eastAsia="Courier New" w:hAnsi="Courier New" w:cs="Courier New"/>
          <w:sz w:val="20"/>
          <w:szCs w:val="20"/>
          <w:lang w:val="es-PE"/>
        </w:rPr>
        <w:t xml:space="preserve">├── datasheet_V2_ESP.md</w:t>
      </w:r>
    </w:p>
    <w:p>
      <w:pPr>
        <w:spacing w:before="0" w:after="0" w:line="252" w:lineRule="auto"/>
        <w:ind w:left="360"/>
        <w:jc w:val="left"/>
      </w:pPr>
      <w:r>
        <w:rPr>
          <w:rFonts w:ascii="Courier New" w:eastAsia="Courier New" w:hAnsi="Courier New" w:cs="Courier New"/>
          <w:sz w:val="20"/>
          <w:szCs w:val="20"/>
          <w:lang w:val="es-PE"/>
        </w:rPr>
        <w:t xml:space="preserve">├── datasheet_V2_ENG.md</w:t>
      </w:r>
    </w:p>
    <w:p>
      <w:pPr>
        <w:spacing w:before="0" w:after="0" w:line="252" w:lineRule="auto"/>
        <w:ind w:left="360"/>
        <w:jc w:val="left"/>
      </w:pPr>
      <w:r>
        <w:rPr>
          <w:rFonts w:ascii="Courier New" w:eastAsia="Courier New" w:hAnsi="Courier New" w:cs="Courier New"/>
          <w:sz w:val="20"/>
          <w:szCs w:val="20"/>
          <w:lang w:val="es-PE"/>
        </w:rPr>
        <w:t xml:space="preserve">├── Ejercicios_4_5_Guardrail_Aegis_ESP_v2.ipynb</w:t>
      </w:r>
    </w:p>
    <w:p>
      <w:pPr>
        <w:spacing w:before="0" w:after="0" w:line="252" w:lineRule="auto"/>
        <w:ind w:left="360"/>
        <w:jc w:val="left"/>
      </w:pPr>
      <w:r>
        <w:rPr>
          <w:rFonts w:ascii="Courier New" w:eastAsia="Courier New" w:hAnsi="Courier New" w:cs="Courier New"/>
          <w:sz w:val="20"/>
          <w:szCs w:val="20"/>
          <w:lang w:val="es-PE"/>
        </w:rPr>
        <w:t xml:space="preserve">└── Ejercicios_4_5_Guardrail_Aegis_ENG_v2.ipynb</w:t>
      </w:r>
    </w:p>
    <w:p>
      <w:pPr>
        <w:keepNext/>
        <w:spacing w:before="140" w:after="60" w:line="252" w:lineRule="auto"/>
        <w:jc w:val="left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Descripción de los archivos</w:t>
      </w:r>
    </w:p>
    <w:p>
      <w:pPr>
        <w:numPr>
          <w:ilvl w:val="0"/>
          <w:numId w:val="10"/>
        </w:numPr>
        <w:spacing w:before="0" w:after="40" w:line="252" w:lineRule="auto"/>
        <w:jc w:val="both"/>
      </w:pPr>
      <w:r>
        <w:rPr>
          <w:rFonts w:ascii="Courier New" w:eastAsia="Courier New" w:hAnsi="Courier New" w:cs="Courier New"/>
          <w:sz w:val="21"/>
          <w:szCs w:val="21"/>
          <w:lang w:val="es-PE"/>
        </w:rPr>
        <w:t xml:space="preserve">README.md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: ofrece una visión general del proyecto, sus objetivos, sus resultados principales y la organización del repositorio.</w:t>
      </w:r>
    </w:p>
    <w:p>
      <w:pPr>
        <w:numPr>
          <w:ilvl w:val="0"/>
          <w:numId w:val="10"/>
        </w:numPr>
        <w:spacing w:before="0" w:after="40" w:line="252" w:lineRule="auto"/>
        <w:jc w:val="both"/>
      </w:pPr>
      <w:r>
        <w:rPr>
          <w:rFonts w:ascii="Courier New" w:eastAsia="Courier New" w:hAnsi="Courier New" w:cs="Courier New"/>
          <w:sz w:val="21"/>
          <w:szCs w:val="21"/>
          <w:lang w:val="es-PE"/>
        </w:rPr>
        <w:t xml:space="preserve">model_card_V2_ESP.md / model_card_V2_ENG.md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: documentan el uso previsto del modelo, su evaluación, sus limitaciones y otras características relevantes, siguiendo el marco de Model Card propuesto por Mitchell et al. (2019).</w:t>
      </w:r>
    </w:p>
    <w:p>
      <w:pPr>
        <w:numPr>
          <w:ilvl w:val="0"/>
          <w:numId w:val="10"/>
        </w:numPr>
        <w:spacing w:before="0" w:after="40" w:line="252" w:lineRule="auto"/>
        <w:jc w:val="both"/>
      </w:pPr>
      <w:r>
        <w:rPr>
          <w:rFonts w:ascii="Courier New" w:eastAsia="Courier New" w:hAnsi="Courier New" w:cs="Courier New"/>
          <w:sz w:val="21"/>
          <w:szCs w:val="21"/>
          <w:lang w:val="es-PE"/>
        </w:rPr>
        <w:t xml:space="preserve">datasheet_V2_ESP.md / datasheet_V2_ENG.md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: describen la composición del conjunto de datos Aegis, el contexto de recolección, los usos previstos y las limitaciones, siguiendo el marco propuesto por Gebru et al. (2021).</w:t>
      </w:r>
    </w:p>
    <w:p>
      <w:pPr>
        <w:numPr>
          <w:ilvl w:val="0"/>
          <w:numId w:val="10"/>
        </w:numPr>
        <w:spacing w:before="0" w:after="40" w:line="252" w:lineRule="auto"/>
        <w:jc w:val="both"/>
      </w:pPr>
      <w:r>
        <w:rPr>
          <w:rFonts w:ascii="Courier New" w:eastAsia="Courier New" w:hAnsi="Courier New" w:cs="Courier New"/>
          <w:sz w:val="21"/>
          <w:szCs w:val="21"/>
          <w:lang w:val="es-PE"/>
        </w:rPr>
        <w:t xml:space="preserve">Ejercicios_4_5_Guardrail_Aegis_ESP_v2.ipynb / Ejercicios_4_5_Guardrail_Aegis_ENG_v2.ipynb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: contienen el </w:t>
      </w:r>
      <w:r>
        <w:rPr>
          <w:rFonts w:ascii="Times New Roman" w:eastAsia="Times New Roman" w:hAnsi="Times New Roman" w:cs="Times New Roman"/>
          <w:sz w:val="22"/>
          <w:szCs w:val="22"/>
          <w:lang w:val="es-PE"/>
          <w:i/>
          <w:iCs/>
        </w:rPr>
        <w:t xml:space="preserve">notebook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 utilizado para ejecutar el experimento (5 semillas) y generar los artefactos de documentación en español y en inglés, respectivamente.</w:t>
      </w:r>
    </w:p>
    <w:p>
      <w:pPr>
        <w:keepNext/>
        <w:spacing w:before="140" w:after="60" w:line="252" w:lineRule="auto"/>
        <w:jc w:val="left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Resultados clave y límites</w:t>
      </w:r>
    </w:p>
    <w:p>
      <w:pPr>
        <w:spacing w:before="0" w:after="100" w:line="252" w:lineRule="auto"/>
        <w:jc w:val="both"/>
      </w:pP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Resultados (5 semillas, split </w:t>
      </w:r>
      <w:r>
        <w:rPr>
          <w:rFonts w:ascii="Times New Roman" w:eastAsia="Times New Roman" w:hAnsi="Times New Roman" w:cs="Times New Roman"/>
          <w:sz w:val="22"/>
          <w:szCs w:val="22"/>
          <w:lang w:val="es-PE"/>
          <w:i/>
          <w:iCs/>
        </w:rPr>
        <w:t xml:space="preserve">test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 oficial de 1 199 textos): macro-F1 0.698 ± 0.008; F1 de la clase </w:t>
      </w:r>
      <w:r>
        <w:rPr>
          <w:rFonts w:ascii="Times New Roman" w:eastAsia="Times New Roman" w:hAnsi="Times New Roman" w:cs="Times New Roman"/>
          <w:sz w:val="22"/>
          <w:szCs w:val="22"/>
          <w:lang w:val="es-PE"/>
          <w:i/>
          <w:iCs/>
        </w:rPr>
        <w:t xml:space="preserve">unsafe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 0.849 ± 0.002; AUPRC 0.912 ± 0.002; recall por clase: </w:t>
      </w:r>
      <w:r>
        <w:rPr>
          <w:rFonts w:ascii="Times New Roman" w:eastAsia="Times New Roman" w:hAnsi="Times New Roman" w:cs="Times New Roman"/>
          <w:sz w:val="22"/>
          <w:szCs w:val="22"/>
          <w:lang w:val="es-PE"/>
          <w:i/>
          <w:iCs/>
        </w:rPr>
        <w:t xml:space="preserve">unsafe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 0.962 y </w:t>
      </w:r>
      <w:r>
        <w:rPr>
          <w:rFonts w:ascii="Times New Roman" w:eastAsia="Times New Roman" w:hAnsi="Times New Roman" w:cs="Times New Roman"/>
          <w:sz w:val="22"/>
          <w:szCs w:val="22"/>
          <w:lang w:val="es-PE"/>
          <w:i/>
          <w:iCs/>
        </w:rPr>
        <w:t xml:space="preserve">safe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 0.406 (exactitud de la clase mayoritaria como referencia: 0.661).</w:t>
      </w:r>
    </w:p>
    <w:p>
      <w:pPr>
        <w:spacing w:before="0" w:after="100" w:line="252" w:lineRule="auto"/>
        <w:jc w:val="both"/>
      </w:pP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Límites: la evaluación es solo dentro de la distribución (texto en inglés, datos de red-teaming), por lo que no es directamente comparable con los guardrails </w:t>
      </w:r>
      <w:r>
        <w:rPr>
          <w:rFonts w:ascii="Times New Roman" w:eastAsia="Times New Roman" w:hAnsi="Times New Roman" w:cs="Times New Roman"/>
          <w:sz w:val="22"/>
          <w:szCs w:val="22"/>
          <w:lang w:val="es-PE"/>
          <w:i/>
          <w:iCs/>
        </w:rPr>
        <w:t xml:space="preserve">zero-shot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 del repositorio big-qa-architecture (p. ej., F1 </w:t>
      </w:r>
      <w:r>
        <w:rPr>
          <w:rFonts w:ascii="Times New Roman" w:eastAsia="Times New Roman" w:hAnsi="Times New Roman" w:cs="Times New Roman"/>
          <w:sz w:val="22"/>
          <w:szCs w:val="22"/>
          <w:lang w:val="es-PE"/>
          <w:i/>
          <w:iCs/>
        </w:rPr>
        <w:t xml:space="preserve">unsafe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 de 0.6287 para la cadena BERT → Llama-Guard). Aegis etiqueta contenido dañino, no técnicas de jailbreak. El Datasheet marca como «DESCONOCIDO» lo que las fuentes no documentan (p. ej., la aprobación ética y el periodo de anotación) y detecta una discrepancia entre el comentario del código del repositorio (labels_0..labels_3) y el dataset (5 columnas de anotación).</w:t>
      </w:r>
    </w:p>
    <w:p>
      <w:pPr>
        <w:keepNext/>
        <w:spacing w:before="140" w:after="60" w:line="252" w:lineRule="auto"/>
        <w:jc w:val="left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Propósito de la documentación</w:t>
      </w:r>
    </w:p>
    <w:p>
      <w:pPr>
        <w:spacing w:before="0" w:after="100" w:line="252" w:lineRule="auto"/>
        <w:jc w:val="both"/>
      </w:pP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El Model Card y el Datasheet complementan al modelo predictivo al documentar sus características, usos previstos, contexto de evaluación y consideraciones sobre los datos. En conjunto, favorecen la transparencia, la reproducibilidad y una evaluación más responsable del flujo de trabajo de machine learning.</w:t>
      </w:r>
    </w:p>
    <w:p>
      <w:pPr>
        <w:keepNext/>
        <w:spacing w:before="140" w:after="60" w:line="252" w:lineRule="auto"/>
        <w:jc w:val="left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Referencias</w:t>
      </w:r>
    </w:p>
    <w:p>
      <w:pPr>
        <w:spacing w:before="0" w:after="60" w:line="252" w:lineRule="auto"/>
        <w:ind w:left="360" w:hanging="360"/>
        <w:jc w:val="left"/>
      </w:pP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Mitchell, M., et al. (2019). </w:t>
      </w:r>
      <w:r>
        <w:rPr>
          <w:rFonts w:ascii="Times New Roman" w:eastAsia="Times New Roman" w:hAnsi="Times New Roman" w:cs="Times New Roman"/>
          <w:i/>
          <w:iCs/>
          <w:sz w:val="22"/>
          <w:szCs w:val="22"/>
          <w:lang w:val="es-PE"/>
        </w:rPr>
        <w:t xml:space="preserve">Model Cards for Model Reporting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2"/>
          <w:szCs w:val="22"/>
          <w:lang w:val="es-PE"/>
        </w:rPr>
        <w:t xml:space="preserve">Proceedings of the Conference on Fairness, Accountability, and Transparency (FAT*)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. </w:t>
      </w:r>
      <w:hyperlink r:id="rId901" w:history="1">
        <w:r>
          <w:rPr>
            <w:rStyle w:val="Hipervnculo"/>
            <w:rFonts w:ascii="Times New Roman" w:eastAsia="Times New Roman" w:hAnsi="Times New Roman" w:cs="Times New Roman"/>
            <w:color w:val="0563C1"/>
            <w:u w:val="single"/>
            <w:sz w:val="22"/>
            <w:szCs w:val="22"/>
          </w:rPr>
          <w:t>https://doi.org/10.1145/3287560.3287596</w:t>
        </w:r>
      </w:hyperlink>
    </w:p>
    <w:p>
      <w:pPr>
        <w:spacing w:before="0" w:after="60" w:line="252" w:lineRule="auto"/>
        <w:ind w:left="360" w:hanging="360"/>
        <w:jc w:val="left"/>
      </w:pP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Gebru, T., et al. (2021). </w:t>
      </w:r>
      <w:r>
        <w:rPr>
          <w:rFonts w:ascii="Times New Roman" w:eastAsia="Times New Roman" w:hAnsi="Times New Roman" w:cs="Times New Roman"/>
          <w:i/>
          <w:iCs/>
          <w:sz w:val="22"/>
          <w:szCs w:val="22"/>
          <w:lang w:val="es-PE"/>
        </w:rPr>
        <w:t xml:space="preserve">Datasheets for Datasets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2"/>
          <w:szCs w:val="22"/>
          <w:lang w:val="es-PE"/>
        </w:rPr>
        <w:t xml:space="preserve">Communications of the ACM</w:t>
      </w: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, 64(12), 86–92. </w:t>
      </w:r>
      <w:hyperlink r:id="rId902" w:history="1">
        <w:r>
          <w:rPr>
            <w:rStyle w:val="Hipervnculo"/>
            <w:rFonts w:ascii="Times New Roman" w:eastAsia="Times New Roman" w:hAnsi="Times New Roman" w:cs="Times New Roman"/>
            <w:color w:val="0563C1"/>
            <w:u w:val="single"/>
            <w:sz w:val="22"/>
            <w:szCs w:val="22"/>
          </w:rPr>
          <w:t>https://doi.org/10.1145/3458723</w:t>
        </w:r>
      </w:hyperlink>
    </w:p>
    <w:p>
      <w:pPr>
        <w:spacing w:before="0" w:after="60" w:line="252" w:lineRule="auto"/>
        <w:ind w:left="360" w:hanging="360"/>
        <w:jc w:val="left"/>
      </w:pP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Ghosh, S., Varshney, P., Galinkin, E., &amp; Parisien, C. (2024). AEGIS: Online Adaptive AI Content Safety Moderation with Ensemble of LLM Experts. arXiv:2404.05993.</w:t>
      </w:r>
    </w:p>
    <w:p>
      <w:pPr>
        <w:spacing w:before="0" w:after="60" w:line="252" w:lineRule="auto"/>
        <w:ind w:left="360" w:hanging="360"/>
        <w:jc w:val="left"/>
      </w:pPr>
      <w:r>
        <w:rPr>
          <w:rFonts w:ascii="Times New Roman" w:eastAsia="Times New Roman" w:hAnsi="Times New Roman" w:cs="Times New Roman"/>
          <w:sz w:val="22"/>
          <w:szCs w:val="22"/>
          <w:lang w:val="es-PE"/>
        </w:rPr>
        <w:t xml:space="preserve">Moraes, Onofre, &amp; Aguiar (2026). Safeguarding Big Data Question-Answering Systems with a Two-Layer Input Guardrails. ICEIS 2026. https://doi.org/10.5220/0014692300004018</w:t>
      </w:r>
    </w:p>
    <w:sectPr w:rsidR="00D7241D" w:rsidRPr="00D7241D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61E00"/>
    <w:multiLevelType w:val="hybridMultilevel"/>
    <w:tmpl w:val="43DA63C6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1" w15:restartNumberingAfterBreak="0">
    <w:nsid w:val="0C484D50"/>
    <w:multiLevelType w:val="hybridMultilevel"/>
    <w:tmpl w:val="64CAF64C"/>
    <w:lvl w:ilvl="0" w:tplc="280A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2" w15:restartNumberingAfterBreak="0">
    <w:nsid w:val="0EA57602"/>
    <w:multiLevelType w:val="hybridMultilevel"/>
    <w:tmpl w:val="07E4F634"/>
    <w:lvl w:ilvl="0" w:tplc="F202FC6A">
      <w:start w:val="1"/>
      <w:numFmt w:val="decimal"/>
      <w:lvlText w:val="%1."/>
      <w:lvlJc w:val="left"/>
      <w:pPr>
        <w:ind w:left="460" w:hanging="260"/>
      </w:pPr>
    </w:lvl>
    <w:lvl w:ilvl="1" w:tplc="15FCE6F4">
      <w:numFmt w:val="decimal"/>
      <w:lvlText w:val=""/>
      <w:lvlJc w:val="left"/>
    </w:lvl>
    <w:lvl w:ilvl="2" w:tplc="DB2E3350">
      <w:numFmt w:val="decimal"/>
      <w:lvlText w:val=""/>
      <w:lvlJc w:val="left"/>
    </w:lvl>
    <w:lvl w:ilvl="3" w:tplc="CAE0870A">
      <w:numFmt w:val="decimal"/>
      <w:lvlText w:val=""/>
      <w:lvlJc w:val="left"/>
    </w:lvl>
    <w:lvl w:ilvl="4" w:tplc="EF123C2E">
      <w:numFmt w:val="decimal"/>
      <w:lvlText w:val=""/>
      <w:lvlJc w:val="left"/>
    </w:lvl>
    <w:lvl w:ilvl="5" w:tplc="145083B2">
      <w:numFmt w:val="decimal"/>
      <w:lvlText w:val=""/>
      <w:lvlJc w:val="left"/>
    </w:lvl>
    <w:lvl w:ilvl="6" w:tplc="AA6A3298">
      <w:numFmt w:val="decimal"/>
      <w:lvlText w:val=""/>
      <w:lvlJc w:val="left"/>
    </w:lvl>
    <w:lvl w:ilvl="7" w:tplc="7C86C316">
      <w:numFmt w:val="decimal"/>
      <w:lvlText w:val=""/>
      <w:lvlJc w:val="left"/>
    </w:lvl>
    <w:lvl w:ilvl="8" w:tplc="C9FA0FEE">
      <w:numFmt w:val="decimal"/>
      <w:lvlText w:val=""/>
      <w:lvlJc w:val="left"/>
    </w:lvl>
  </w:abstractNum>
  <w:abstractNum w:abstractNumId="3" w15:restartNumberingAfterBreak="0">
    <w:nsid w:val="16417C39"/>
    <w:multiLevelType w:val="hybridMultilevel"/>
    <w:tmpl w:val="AF329152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4" w15:restartNumberingAfterBreak="0">
    <w:nsid w:val="17DE4A79"/>
    <w:multiLevelType w:val="hybridMultilevel"/>
    <w:tmpl w:val="8894FB26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5" w15:restartNumberingAfterBreak="0">
    <w:nsid w:val="1938324A"/>
    <w:multiLevelType w:val="hybridMultilevel"/>
    <w:tmpl w:val="F0A21032"/>
    <w:lvl w:ilvl="0" w:tplc="CB18FD26">
      <w:start w:val="1"/>
      <w:numFmt w:val="bullet"/>
      <w:lvlText w:val="●"/>
      <w:lvlJc w:val="left"/>
      <w:pPr>
        <w:ind w:left="720" w:hanging="360"/>
      </w:pPr>
    </w:lvl>
    <w:lvl w:ilvl="1" w:tplc="42D2CE22">
      <w:start w:val="1"/>
      <w:numFmt w:val="bullet"/>
      <w:lvlText w:val="○"/>
      <w:lvlJc w:val="left"/>
      <w:pPr>
        <w:ind w:left="1440" w:hanging="360"/>
      </w:pPr>
    </w:lvl>
    <w:lvl w:ilvl="2" w:tplc="73307FB8">
      <w:start w:val="1"/>
      <w:numFmt w:val="bullet"/>
      <w:lvlText w:val="■"/>
      <w:lvlJc w:val="left"/>
      <w:pPr>
        <w:ind w:left="2160" w:hanging="360"/>
      </w:pPr>
    </w:lvl>
    <w:lvl w:ilvl="3" w:tplc="520AB92E">
      <w:start w:val="1"/>
      <w:numFmt w:val="bullet"/>
      <w:lvlText w:val="●"/>
      <w:lvlJc w:val="left"/>
      <w:pPr>
        <w:ind w:left="2880" w:hanging="360"/>
      </w:pPr>
    </w:lvl>
    <w:lvl w:ilvl="4" w:tplc="93FEED78">
      <w:start w:val="1"/>
      <w:numFmt w:val="bullet"/>
      <w:lvlText w:val="○"/>
      <w:lvlJc w:val="left"/>
      <w:pPr>
        <w:ind w:left="3600" w:hanging="360"/>
      </w:pPr>
    </w:lvl>
    <w:lvl w:ilvl="5" w:tplc="9A149B50">
      <w:start w:val="1"/>
      <w:numFmt w:val="bullet"/>
      <w:lvlText w:val="■"/>
      <w:lvlJc w:val="left"/>
      <w:pPr>
        <w:ind w:left="4320" w:hanging="360"/>
      </w:pPr>
    </w:lvl>
    <w:lvl w:ilvl="6" w:tplc="F86293D4">
      <w:start w:val="1"/>
      <w:numFmt w:val="bullet"/>
      <w:lvlText w:val="●"/>
      <w:lvlJc w:val="left"/>
      <w:pPr>
        <w:ind w:left="5040" w:hanging="360"/>
      </w:pPr>
    </w:lvl>
    <w:lvl w:ilvl="7" w:tplc="901C0CDA">
      <w:start w:val="1"/>
      <w:numFmt w:val="bullet"/>
      <w:lvlText w:val="●"/>
      <w:lvlJc w:val="left"/>
      <w:pPr>
        <w:ind w:left="5760" w:hanging="360"/>
      </w:pPr>
    </w:lvl>
    <w:lvl w:ilvl="8" w:tplc="65A250D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1BF4265E"/>
    <w:multiLevelType w:val="hybridMultilevel"/>
    <w:tmpl w:val="23061172"/>
    <w:lvl w:ilvl="0" w:tplc="8B92C170">
      <w:start w:val="1"/>
      <w:numFmt w:val="decimal"/>
      <w:lvlText w:val="%1."/>
      <w:lvlJc w:val="left"/>
      <w:pPr>
        <w:ind w:left="460" w:hanging="260"/>
      </w:pPr>
    </w:lvl>
    <w:lvl w:ilvl="1" w:tplc="76CAA440">
      <w:numFmt w:val="decimal"/>
      <w:lvlText w:val=""/>
      <w:lvlJc w:val="left"/>
    </w:lvl>
    <w:lvl w:ilvl="2" w:tplc="D74AF2CC">
      <w:numFmt w:val="decimal"/>
      <w:lvlText w:val=""/>
      <w:lvlJc w:val="left"/>
    </w:lvl>
    <w:lvl w:ilvl="3" w:tplc="2E18BBC4">
      <w:numFmt w:val="decimal"/>
      <w:lvlText w:val=""/>
      <w:lvlJc w:val="left"/>
    </w:lvl>
    <w:lvl w:ilvl="4" w:tplc="BF524B3C">
      <w:numFmt w:val="decimal"/>
      <w:lvlText w:val=""/>
      <w:lvlJc w:val="left"/>
    </w:lvl>
    <w:lvl w:ilvl="5" w:tplc="AA48F9C2">
      <w:numFmt w:val="decimal"/>
      <w:lvlText w:val=""/>
      <w:lvlJc w:val="left"/>
    </w:lvl>
    <w:lvl w:ilvl="6" w:tplc="1674C78C">
      <w:numFmt w:val="decimal"/>
      <w:lvlText w:val=""/>
      <w:lvlJc w:val="left"/>
    </w:lvl>
    <w:lvl w:ilvl="7" w:tplc="FEDE5364">
      <w:numFmt w:val="decimal"/>
      <w:lvlText w:val=""/>
      <w:lvlJc w:val="left"/>
    </w:lvl>
    <w:lvl w:ilvl="8" w:tplc="B288AEF2">
      <w:numFmt w:val="decimal"/>
      <w:lvlText w:val=""/>
      <w:lvlJc w:val="left"/>
    </w:lvl>
  </w:abstractNum>
  <w:abstractNum w:abstractNumId="7" w15:restartNumberingAfterBreak="0">
    <w:nsid w:val="1EFF54FF"/>
    <w:multiLevelType w:val="hybridMultilevel"/>
    <w:tmpl w:val="0A02655A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8" w15:restartNumberingAfterBreak="0">
    <w:nsid w:val="25B97573"/>
    <w:multiLevelType w:val="hybridMultilevel"/>
    <w:tmpl w:val="279A8344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9" w15:restartNumberingAfterBreak="0">
    <w:nsid w:val="448D2521"/>
    <w:multiLevelType w:val="hybridMultilevel"/>
    <w:tmpl w:val="3C88A45A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10" w15:restartNumberingAfterBreak="0">
    <w:nsid w:val="45EC4487"/>
    <w:multiLevelType w:val="hybridMultilevel"/>
    <w:tmpl w:val="6840E824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11" w15:restartNumberingAfterBreak="0">
    <w:nsid w:val="5CB014F5"/>
    <w:multiLevelType w:val="hybridMultilevel"/>
    <w:tmpl w:val="39DE7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FB0ABD"/>
    <w:multiLevelType w:val="hybridMultilevel"/>
    <w:tmpl w:val="4C2246AC"/>
    <w:lvl w:ilvl="0" w:tplc="C41E3B78">
      <w:start w:val="1"/>
      <w:numFmt w:val="decimal"/>
      <w:lvlText w:val="%1."/>
      <w:lvlJc w:val="left"/>
      <w:pPr>
        <w:ind w:left="460" w:hanging="260"/>
      </w:pPr>
    </w:lvl>
    <w:lvl w:ilvl="1" w:tplc="F52E670C">
      <w:numFmt w:val="decimal"/>
      <w:lvlText w:val=""/>
      <w:lvlJc w:val="left"/>
    </w:lvl>
    <w:lvl w:ilvl="2" w:tplc="BAB667A6">
      <w:numFmt w:val="decimal"/>
      <w:lvlText w:val=""/>
      <w:lvlJc w:val="left"/>
    </w:lvl>
    <w:lvl w:ilvl="3" w:tplc="A4A4CEF8">
      <w:numFmt w:val="decimal"/>
      <w:lvlText w:val=""/>
      <w:lvlJc w:val="left"/>
    </w:lvl>
    <w:lvl w:ilvl="4" w:tplc="88B29578">
      <w:numFmt w:val="decimal"/>
      <w:lvlText w:val=""/>
      <w:lvlJc w:val="left"/>
    </w:lvl>
    <w:lvl w:ilvl="5" w:tplc="BFC436FC">
      <w:numFmt w:val="decimal"/>
      <w:lvlText w:val=""/>
      <w:lvlJc w:val="left"/>
    </w:lvl>
    <w:lvl w:ilvl="6" w:tplc="B122D54C">
      <w:numFmt w:val="decimal"/>
      <w:lvlText w:val=""/>
      <w:lvlJc w:val="left"/>
    </w:lvl>
    <w:lvl w:ilvl="7" w:tplc="76980F9E">
      <w:numFmt w:val="decimal"/>
      <w:lvlText w:val=""/>
      <w:lvlJc w:val="left"/>
    </w:lvl>
    <w:lvl w:ilvl="8" w:tplc="82E4CED4">
      <w:numFmt w:val="decimal"/>
      <w:lvlText w:val=""/>
      <w:lvlJc w:val="left"/>
    </w:lvl>
  </w:abstractNum>
  <w:abstractNum w:abstractNumId="13" w15:restartNumberingAfterBreak="0">
    <w:nsid w:val="6C402870"/>
    <w:multiLevelType w:val="hybridMultilevel"/>
    <w:tmpl w:val="2F12243A"/>
    <w:lvl w:ilvl="0" w:tplc="3BA44B3C">
      <w:start w:val="1"/>
      <w:numFmt w:val="bullet"/>
      <w:lvlText w:val="—"/>
      <w:lvlJc w:val="left"/>
      <w:pPr>
        <w:ind w:left="460" w:hanging="260"/>
      </w:p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num w:numId="1">
    <w:abstractNumId w:val="5"/>
    <w:lvlOverride w:ilvl="0">
      <w:startOverride w:val="1"/>
    </w:lvlOverride>
  </w:num>
  <w:num w:numId="2">
    <w:abstractNumId w:val="13"/>
    <w:lvlOverride w:ilvl="0">
      <w:startOverride w:val="1"/>
    </w:lvlOverride>
  </w:num>
  <w:num w:numId="3">
    <w:abstractNumId w:val="12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13"/>
  </w:num>
  <w:num w:numId="7">
    <w:abstractNumId w:val="3"/>
  </w:num>
  <w:num w:numId="8">
    <w:abstractNumId w:val="8"/>
  </w:num>
  <w:num w:numId="9">
    <w:abstractNumId w:val="1"/>
  </w:num>
  <w:num w:numId="10">
    <w:abstractNumId w:val="0"/>
  </w:num>
  <w:num w:numId="11">
    <w:abstractNumId w:val="9"/>
  </w:num>
  <w:num w:numId="12">
    <w:abstractNumId w:val="4"/>
  </w:num>
  <w:num w:numId="13">
    <w:abstractNumId w:val="10"/>
  </w:num>
  <w:num w:numId="14">
    <w:abstractNumId w:val="7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6EA"/>
    <w:rsid w:val="000444B8"/>
    <w:rsid w:val="00146776"/>
    <w:rsid w:val="001A30C5"/>
    <w:rsid w:val="00286C12"/>
    <w:rsid w:val="00286DB1"/>
    <w:rsid w:val="002C130B"/>
    <w:rsid w:val="00304BB5"/>
    <w:rsid w:val="00350EAE"/>
    <w:rsid w:val="003F0D4F"/>
    <w:rsid w:val="00483897"/>
    <w:rsid w:val="00543D7F"/>
    <w:rsid w:val="005F48E8"/>
    <w:rsid w:val="00694A40"/>
    <w:rsid w:val="007374CC"/>
    <w:rsid w:val="008F7E2F"/>
    <w:rsid w:val="009A5A7C"/>
    <w:rsid w:val="00A11781"/>
    <w:rsid w:val="00A11F70"/>
    <w:rsid w:val="00AB3415"/>
    <w:rsid w:val="00B800AD"/>
    <w:rsid w:val="00B81EE3"/>
    <w:rsid w:val="00C01733"/>
    <w:rsid w:val="00C1003E"/>
    <w:rsid w:val="00D7241D"/>
    <w:rsid w:val="00DB7200"/>
    <w:rsid w:val="00E476EA"/>
    <w:rsid w:val="00E81FC5"/>
    <w:rsid w:val="00F27056"/>
    <w:rsid w:val="00F4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922BAD"/>
  <w15:docId w15:val="{24B05CA8-4800-422E-AD15-B82840431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="Georgia" w:hAnsi="Georgia" w:cs="Georgia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543D7F"/>
    <w:pPr>
      <w:widowControl w:val="0"/>
      <w:autoSpaceDE w:val="0"/>
      <w:autoSpaceDN w:val="0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43D7F"/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17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01" Type="http://schemas.openxmlformats.org/officeDocument/2006/relationships/hyperlink" Target="https://doi.org/10.1145/3287560.3287596" TargetMode="External"/><Relationship Id="rId902" Type="http://schemas.openxmlformats.org/officeDocument/2006/relationships/hyperlink" Target="https://doi.org/10.1145/345872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200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Install MS Office 2019 Std 64 bits</Company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Felix Mendoza</cp:lastModifiedBy>
  <cp:revision>30</cp:revision>
  <dcterms:created xsi:type="dcterms:W3CDTF">2026-09-25T23:18:00Z</dcterms:created>
  <dcterms:modified xsi:type="dcterms:W3CDTF">2026-10-23T17:08:00Z</dcterms:modified>
</cp:coreProperties>
</file>