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F9707C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 w:rsidRPr="00F9707C"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707C">
        <w:rPr>
          <w:rFonts w:ascii="Times New Roman" w:hAnsi="Times New Roman" w:cs="Times New Roman"/>
          <w:b/>
          <w:sz w:val="40"/>
        </w:rPr>
        <w:t>UNIVERSIDAD</w:t>
      </w:r>
      <w:r w:rsidRPr="00F9707C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F9707C">
        <w:rPr>
          <w:rFonts w:ascii="Times New Roman" w:hAnsi="Times New Roman" w:cs="Times New Roman"/>
          <w:b/>
          <w:sz w:val="40"/>
        </w:rPr>
        <w:t>NACIONAL</w:t>
      </w:r>
      <w:r w:rsidRPr="00F9707C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F9707C">
        <w:rPr>
          <w:rFonts w:ascii="Times New Roman" w:hAnsi="Times New Roman" w:cs="Times New Roman"/>
          <w:b/>
          <w:sz w:val="40"/>
        </w:rPr>
        <w:t>MAYOR</w:t>
      </w:r>
      <w:r w:rsidRPr="00F9707C">
        <w:rPr>
          <w:rFonts w:ascii="Times New Roman" w:hAnsi="Times New Roman" w:cs="Times New Roman"/>
          <w:b/>
          <w:spacing w:val="-12"/>
          <w:sz w:val="40"/>
        </w:rPr>
        <w:t xml:space="preserve"> </w:t>
      </w:r>
      <w:r w:rsidRPr="00F9707C">
        <w:rPr>
          <w:rFonts w:ascii="Times New Roman" w:hAnsi="Times New Roman" w:cs="Times New Roman"/>
          <w:b/>
          <w:sz w:val="40"/>
        </w:rPr>
        <w:t>DE</w:t>
      </w:r>
      <w:r w:rsidRPr="00F9707C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F9707C">
        <w:rPr>
          <w:rFonts w:ascii="Times New Roman" w:hAnsi="Times New Roman" w:cs="Times New Roman"/>
          <w:b/>
          <w:sz w:val="40"/>
        </w:rPr>
        <w:t xml:space="preserve">SAN </w:t>
      </w:r>
      <w:r w:rsidRPr="00F9707C"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F9707C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 w:rsidRPr="00F9707C">
        <w:rPr>
          <w:rFonts w:ascii="Times New Roman" w:hAnsi="Times New Roman" w:cs="Times New Roman"/>
          <w:color w:val="auto"/>
          <w:lang w:val="en-US"/>
        </w:rPr>
        <w:t>Doctoral</w:t>
      </w:r>
      <w:r w:rsidRPr="00F9707C"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 w:rsidRPr="00F9707C">
        <w:rPr>
          <w:rFonts w:ascii="Times New Roman" w:hAnsi="Times New Roman" w:cs="Times New Roman"/>
          <w:color w:val="auto"/>
          <w:lang w:val="en-US"/>
        </w:rPr>
        <w:t>Program</w:t>
      </w:r>
      <w:r w:rsidRPr="00F9707C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F9707C">
        <w:rPr>
          <w:rFonts w:ascii="Times New Roman" w:hAnsi="Times New Roman" w:cs="Times New Roman"/>
          <w:color w:val="auto"/>
          <w:lang w:val="en-US"/>
        </w:rPr>
        <w:t>in</w:t>
      </w:r>
      <w:r w:rsidRPr="00F9707C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F9707C">
        <w:rPr>
          <w:rFonts w:ascii="Times New Roman" w:hAnsi="Times New Roman" w:cs="Times New Roman"/>
          <w:color w:val="auto"/>
          <w:lang w:val="en-US"/>
        </w:rPr>
        <w:t>Deep</w:t>
      </w:r>
      <w:r w:rsidRPr="00F9707C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F9707C">
        <w:rPr>
          <w:rFonts w:ascii="Times New Roman" w:hAnsi="Times New Roman" w:cs="Times New Roman"/>
          <w:color w:val="auto"/>
          <w:lang w:val="en-US"/>
        </w:rPr>
        <w:t>Tech,</w:t>
      </w:r>
      <w:r w:rsidRPr="00F9707C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F9707C"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F9707C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F9707C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F9707C">
        <w:rPr>
          <w:rFonts w:ascii="Times New Roman" w:hAnsi="Times New Roman" w:cs="Times New Roman"/>
          <w:b/>
          <w:sz w:val="40"/>
          <w:lang w:val="en-US"/>
        </w:rPr>
        <w:t>Research</w:t>
      </w:r>
      <w:r w:rsidRPr="00F9707C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Methods</w:t>
      </w:r>
      <w:r w:rsidRPr="00F9707C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and</w:t>
      </w:r>
      <w:r w:rsidRPr="00F9707C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Scientific</w:t>
      </w:r>
      <w:r w:rsidRPr="00F9707C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Integrity</w:t>
      </w:r>
      <w:r w:rsidRPr="00F9707C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in</w:t>
      </w:r>
      <w:r w:rsidRPr="00F9707C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F9707C" w:rsidRDefault="00543D7F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F9707C">
        <w:rPr>
          <w:rFonts w:ascii="Times New Roman" w:hAnsi="Times New Roman" w:cs="Times New Roman"/>
          <w:b/>
          <w:sz w:val="27"/>
          <w:lang w:val="en-US"/>
        </w:rPr>
        <w:t xml:space="preserve">DELIVERABLE No. </w:t>
      </w:r>
      <w:r w:rsidR="001A30C5" w:rsidRPr="00F9707C">
        <w:rPr>
          <w:rFonts w:ascii="Times New Roman" w:hAnsi="Times New Roman" w:cs="Times New Roman"/>
          <w:b/>
          <w:sz w:val="27"/>
          <w:lang w:val="en-US"/>
        </w:rPr>
        <w:t>4</w:t>
      </w:r>
      <w:r w:rsidRPr="00F9707C">
        <w:rPr>
          <w:rFonts w:ascii="Times New Roman" w:hAnsi="Times New Roman" w:cs="Times New Roman"/>
          <w:b/>
          <w:sz w:val="27"/>
          <w:lang w:val="en-US"/>
        </w:rPr>
        <w:t xml:space="preserve">: </w:t>
      </w:r>
      <w:r w:rsidR="001A30C5" w:rsidRPr="00F9707C">
        <w:rPr>
          <w:rFonts w:ascii="Times New Roman" w:hAnsi="Times New Roman" w:cs="Times New Roman"/>
          <w:b/>
          <w:sz w:val="27"/>
          <w:lang w:val="en-US"/>
        </w:rPr>
        <w:t>Systematic Review</w:t>
      </w:r>
    </w:p>
    <w:p w:rsidR="00543D7F" w:rsidRPr="00F9707C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F9707C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F9707C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F9707C">
        <w:rPr>
          <w:rFonts w:ascii="Times New Roman" w:hAnsi="Times New Roman" w:cs="Times New Roman"/>
          <w:b/>
          <w:sz w:val="27"/>
          <w:lang w:val="en-US"/>
        </w:rPr>
        <w:t>Course</w:t>
      </w:r>
      <w:r w:rsidRPr="00F9707C"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 w:rsidRPr="00F9707C">
        <w:rPr>
          <w:rFonts w:ascii="Times New Roman" w:hAnsi="Times New Roman" w:cs="Times New Roman"/>
          <w:b/>
          <w:sz w:val="27"/>
          <w:lang w:val="en-US"/>
        </w:rPr>
        <w:t>: Dr.</w:t>
      </w:r>
      <w:r w:rsidRPr="00F9707C"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proofErr w:type="spellStart"/>
      <w:r w:rsidRPr="00F9707C">
        <w:rPr>
          <w:rFonts w:ascii="Times New Roman" w:hAnsi="Times New Roman" w:cs="Times New Roman"/>
          <w:b/>
          <w:sz w:val="27"/>
          <w:lang w:val="en-US"/>
        </w:rPr>
        <w:t>Loveleen</w:t>
      </w:r>
      <w:proofErr w:type="spellEnd"/>
      <w:r w:rsidRPr="00F9707C"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 w:rsidRPr="00F9707C"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F9707C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F9707C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</w:rPr>
      </w:pPr>
      <w:proofErr w:type="spellStart"/>
      <w:r w:rsidRPr="00F9707C">
        <w:rPr>
          <w:rFonts w:ascii="Times New Roman" w:hAnsi="Times New Roman" w:cs="Times New Roman"/>
          <w:b/>
          <w:spacing w:val="-2"/>
          <w:sz w:val="27"/>
        </w:rPr>
        <w:t>Student</w:t>
      </w:r>
      <w:proofErr w:type="spellEnd"/>
      <w:r w:rsidRPr="00F9707C">
        <w:rPr>
          <w:rFonts w:ascii="Times New Roman" w:hAnsi="Times New Roman" w:cs="Times New Roman"/>
          <w:b/>
          <w:spacing w:val="-2"/>
          <w:sz w:val="27"/>
        </w:rPr>
        <w:t>:</w:t>
      </w:r>
      <w:r w:rsidRPr="00F9707C">
        <w:rPr>
          <w:rFonts w:ascii="Times New Roman" w:hAnsi="Times New Roman" w:cs="Times New Roman"/>
          <w:b/>
          <w:sz w:val="27"/>
        </w:rPr>
        <w:t xml:space="preserve"> Félix Richar Mendoza Pumacahua</w:t>
      </w:r>
    </w:p>
    <w:p w:rsidR="00543D7F" w:rsidRPr="00F9707C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F9707C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F9707C" w:rsidRDefault="00543D7F" w:rsidP="00543D7F">
      <w:pPr>
        <w:pStyle w:val="Textoindependiente"/>
        <w:spacing w:before="270"/>
        <w:jc w:val="center"/>
        <w:rPr>
          <w:b/>
          <w:sz w:val="27"/>
          <w:lang w:val="es-ES"/>
        </w:rPr>
      </w:pPr>
    </w:p>
    <w:p w:rsidR="00543D7F" w:rsidRPr="00F9707C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F9707C">
        <w:rPr>
          <w:rFonts w:ascii="Times New Roman" w:hAnsi="Times New Roman" w:cs="Times New Roman"/>
          <w:color w:val="auto"/>
        </w:rPr>
        <w:t>2026</w:t>
      </w:r>
      <w:r w:rsidRPr="00F9707C">
        <w:rPr>
          <w:rFonts w:ascii="Times New Roman" w:hAnsi="Times New Roman" w:cs="Times New Roman"/>
          <w:color w:val="auto"/>
          <w:spacing w:val="-2"/>
        </w:rPr>
        <w:t xml:space="preserve"> </w:t>
      </w:r>
      <w:r w:rsidRPr="00F9707C">
        <w:rPr>
          <w:rFonts w:ascii="Times New Roman" w:hAnsi="Times New Roman" w:cs="Times New Roman"/>
          <w:color w:val="auto"/>
        </w:rPr>
        <w:t>-</w:t>
      </w:r>
      <w:r w:rsidRPr="00F9707C">
        <w:rPr>
          <w:rFonts w:ascii="Times New Roman" w:hAnsi="Times New Roman" w:cs="Times New Roman"/>
          <w:color w:val="auto"/>
          <w:spacing w:val="-1"/>
        </w:rPr>
        <w:t xml:space="preserve"> </w:t>
      </w:r>
      <w:r w:rsidRPr="00F9707C">
        <w:rPr>
          <w:rFonts w:ascii="Times New Roman" w:hAnsi="Times New Roman" w:cs="Times New Roman"/>
          <w:color w:val="auto"/>
          <w:spacing w:val="-5"/>
        </w:rPr>
        <w:t>II</w:t>
      </w:r>
    </w:p>
    <w:p w:rsidR="00543D7F" w:rsidRPr="00F9707C" w:rsidRDefault="00543D7F">
      <w:pPr>
        <w:spacing w:after="200"/>
        <w:jc w:val="center"/>
      </w:pPr>
    </w:p>
    <w:p w:rsidR="00543D7F" w:rsidRPr="00F9707C" w:rsidRDefault="00543D7F">
      <w:r w:rsidRPr="00F9707C">
        <w:br w:type="page"/>
      </w:r>
    </w:p>
    <w:p w:rsidR="00C01733" w:rsidRPr="00F9707C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Mini revisión sistemática (Mini Systematic Review)</w:t>
      </w:r>
    </w:p>
    <w:p w:rsidR="00C01733" w:rsidRPr="00F9707C" w:rsidRDefault="00C01733" w:rsidP="00C01733">
      <w:pPr>
        <w:pStyle w:val="Ttulo1"/>
        <w:spacing w:before="400" w:after="200"/>
        <w:rPr>
          <w:rFonts w:ascii="Times New Roman" w:hAnsi="Times New Roman" w:cs="Times New Roman"/>
          <w:color w:val="0070C0"/>
          <w:sz w:val="22"/>
          <w:szCs w:val="22"/>
        </w:rPr>
      </w:pPr>
      <w:r>
        <w:rPr>
          <w:rFonts w:ascii="Times New Roman" w:hAnsi="Times New Roman" w:cs="Times New Roman"/>
          <w:color w:val="0070C0"/>
          <w:sz w:val="22"/>
          <w:szCs w:val="22"/>
        </w:rPr>
        <w:t>10 estudios identificados mediante cadenas de búsqueda documentadas en Scopus y Semantic Scholar</w:t>
      </w: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Pregunta y alcance de la revisión</w:t>
      </w:r>
    </w:p>
    <w:p w:rsidR="00C933E0" w:rsidRPr="00F9707C" w:rsidRDefault="00C933E0">
      <w:pPr>
        <w:spacing w:after="120"/>
        <w:jc w:val="both"/>
        <w:rPr>
          <w:rFonts w:ascii="Times New Roman" w:eastAsia="Times New Roman" w:hAnsi="Times New Roman"/>
        </w:rPr>
      </w:pPr>
    </w:p>
    <w:p w:rsidR="002D55DC" w:rsidRPr="00F9707C" w:rsidRDefault="00F27056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 xml:space="preserve">Esta mini revisión sistemática explora cómo la literatura reciente (2022–2026) propone </w:t>
      </w:r>
      <w:r w:rsidRPr="00F9707C">
        <w:rPr>
          <w:rFonts w:ascii="Times New Roman" w:eastAsia="Times New Roman" w:hAnsi="Times New Roman"/>
          <w:b/>
        </w:rPr>
        <w:t>arquitecturas de referencia, arquitectura empresarial y marcos arquitectónicos</w:t>
      </w:r>
      <w:r w:rsidRPr="00F9707C">
        <w:rPr>
          <w:rFonts w:ascii="Times New Roman" w:eastAsia="Times New Roman" w:hAnsi="Times New Roman"/>
        </w:rPr>
        <w:t xml:space="preserve"> para integrar de forma gobernada la </w:t>
      </w:r>
      <w:r w:rsidRPr="00F9707C">
        <w:rPr>
          <w:rFonts w:ascii="Times New Roman" w:eastAsia="Times New Roman" w:hAnsi="Times New Roman"/>
          <w:b/>
        </w:rPr>
        <w:t>IA generativa y agéntica</w:t>
      </w:r>
      <w:r w:rsidRPr="00F9707C">
        <w:rPr>
          <w:rFonts w:ascii="Times New Roman" w:eastAsia="Times New Roman" w:hAnsi="Times New Roman"/>
        </w:rPr>
        <w:t xml:space="preserve"> (LLM, agentes, sistemas multiagente) en el </w:t>
      </w:r>
      <w:r w:rsidRPr="00F9707C">
        <w:rPr>
          <w:rFonts w:ascii="Times New Roman" w:eastAsia="Times New Roman" w:hAnsi="Times New Roman"/>
          <w:b/>
        </w:rPr>
        <w:t>desarrollo de software</w:t>
      </w:r>
      <w:r w:rsidRPr="00F9707C">
        <w:rPr>
          <w:rFonts w:ascii="Times New Roman" w:eastAsia="Times New Roman" w:hAnsi="Times New Roman"/>
        </w:rPr>
        <w:t xml:space="preserve">, y con qué mecanismos de </w:t>
      </w:r>
      <w:r w:rsidRPr="00F9707C">
        <w:rPr>
          <w:rFonts w:ascii="Times New Roman" w:eastAsia="Times New Roman" w:hAnsi="Times New Roman"/>
          <w:b/>
        </w:rPr>
        <w:t>cumplimiento, verificación y gobernanza</w:t>
      </w:r>
      <w:r w:rsidRPr="00F9707C">
        <w:rPr>
          <w:rFonts w:ascii="Times New Roman" w:eastAsia="Times New Roman" w:hAnsi="Times New Roman"/>
        </w:rPr>
        <w:t xml:space="preserve"> lo hacen. Pregunta guía:</w:t>
      </w:r>
    </w:p>
    <w:p w:rsidR="00286C12" w:rsidRPr="00F9707C" w:rsidRDefault="00F27056">
      <w:pPr>
        <w:spacing w:after="120"/>
        <w:jc w:val="both"/>
      </w:pPr>
      <w:r w:rsidRPr="00F9707C">
        <w:rPr>
          <w:rFonts w:ascii="Times New Roman" w:eastAsia="Times New Roman" w:hAnsi="Times New Roman"/>
        </w:rPr>
        <w:t>¿qué arquitecturas y mecanismos de gobernanza se han propuesto para asegurar el cumplimiento cuando se usa IA generativa/agéntica en el ciclo de vida de desarrollo de software, y con qué nivel de validación empírica?</w:t>
      </w:r>
    </w:p>
    <w:p w:rsidR="00286C12" w:rsidRPr="00F9707C" w:rsidRDefault="00F27056">
      <w:pPr>
        <w:spacing w:after="120"/>
        <w:jc w:val="both"/>
      </w:pPr>
      <w:r w:rsidRPr="00F9707C">
        <w:rPr>
          <w:rFonts w:ascii="Times New Roman" w:eastAsia="Times New Roman" w:hAnsi="Times New Roman"/>
        </w:rPr>
        <w:t>La pregunta se alinea con el problema doctoral de gobernar el uso de IA en el desarrollo de soluciones sobre una arquitectura de referencia institucional (caso de aplicación: el SIIP de la ONP, cuya Arquitectura de Referencia exige una Evaluación de Conformidad Arquitectónica antes de iniciar el desarrollo e incluye explícitamente las soluciones de inteligencia artificial en su alcance).</w:t>
      </w:r>
    </w:p>
    <w:p w:rsidR="00286C12" w:rsidRPr="00F9707C" w:rsidRDefault="00F27056">
      <w:pPr>
        <w:keepNext/>
        <w:spacing w:before="160" w:after="80"/>
        <w:rPr>
          <w:rFonts w:ascii="Times New Roman" w:eastAsia="Times New Roman" w:hAnsi="Times New Roman"/>
          <w:b/>
          <w:sz w:val="24"/>
        </w:rPr>
      </w:pPr>
      <w:r w:rsidRPr="00F9707C">
        <w:rPr>
          <w:rFonts w:ascii="Times New Roman" w:eastAsia="Times New Roman" w:hAnsi="Times New Roman"/>
          <w:b/>
          <w:sz w:val="24"/>
        </w:rPr>
        <w:t>Estrategia de búsqueda</w:t>
      </w:r>
    </w:p>
    <w:p w:rsidR="00D4578A" w:rsidRPr="00F9707C" w:rsidRDefault="00D4578A">
      <w:pPr>
        <w:keepNext/>
        <w:spacing w:before="160" w:after="80"/>
      </w:pPr>
    </w:p>
    <w:p w:rsidR="00286C12" w:rsidRPr="00F9707C" w:rsidRDefault="00F27056">
      <w:pPr>
        <w:spacing w:after="80"/>
        <w:rPr>
          <w:lang w:val="en-US"/>
        </w:rPr>
      </w:pPr>
      <w:r w:rsidRPr="00F9707C">
        <w:rPr>
          <w:rFonts w:ascii="Times New Roman" w:eastAsia="Times New Roman" w:hAnsi="Times New Roman"/>
          <w:b/>
        </w:rPr>
        <w:t>Base de datos:</w:t>
      </w:r>
      <w:r w:rsidRPr="00F9707C">
        <w:rPr>
          <w:rFonts w:ascii="Times New Roman" w:eastAsia="Times New Roman" w:hAnsi="Times New Roman"/>
        </w:rPr>
        <w:t xml:space="preserve"> Scopus (campos TITLE-ABS-KEY). </w:t>
      </w:r>
      <w:r w:rsidRPr="00F9707C">
        <w:rPr>
          <w:rFonts w:ascii="Times New Roman" w:eastAsia="Times New Roman" w:hAnsi="Times New Roman"/>
          <w:b/>
        </w:rPr>
        <w:t>Filtro temporal:</w:t>
      </w:r>
      <w:r w:rsidRPr="00F9707C">
        <w:rPr>
          <w:rFonts w:ascii="Times New Roman" w:eastAsia="Times New Roman" w:hAnsi="Times New Roman"/>
        </w:rPr>
        <w:t xml:space="preserve"> PUBYEAR &gt; 2021. </w:t>
      </w:r>
      <w:r w:rsidRPr="00F9707C">
        <w:rPr>
          <w:rFonts w:ascii="Times New Roman" w:eastAsia="Times New Roman" w:hAnsi="Times New Roman"/>
          <w:b/>
        </w:rPr>
        <w:t>Resultado:</w:t>
      </w:r>
      <w:r w:rsidRPr="00F9707C">
        <w:rPr>
          <w:rFonts w:ascii="Times New Roman" w:eastAsia="Times New Roman" w:hAnsi="Times New Roman"/>
        </w:rPr>
        <w:t xml:space="preserve"> 21 documentos. </w:t>
      </w:r>
      <w:proofErr w:type="spellStart"/>
      <w:r w:rsidRPr="00F9707C">
        <w:rPr>
          <w:rFonts w:ascii="Times New Roman" w:eastAsia="Times New Roman" w:hAnsi="Times New Roman"/>
          <w:b/>
          <w:lang w:val="en-US"/>
        </w:rPr>
        <w:t>Fecha</w:t>
      </w:r>
      <w:proofErr w:type="spellEnd"/>
      <w:r w:rsidRPr="00F9707C">
        <w:rPr>
          <w:rFonts w:ascii="Times New Roman" w:eastAsia="Times New Roman" w:hAnsi="Times New Roman"/>
          <w:b/>
          <w:lang w:val="en-US"/>
        </w:rPr>
        <w:t xml:space="preserve"> de </w:t>
      </w:r>
      <w:proofErr w:type="spellStart"/>
      <w:r w:rsidRPr="00F9707C">
        <w:rPr>
          <w:rFonts w:ascii="Times New Roman" w:eastAsia="Times New Roman" w:hAnsi="Times New Roman"/>
          <w:b/>
          <w:lang w:val="en-US"/>
        </w:rPr>
        <w:t>ejecución</w:t>
      </w:r>
      <w:proofErr w:type="spellEnd"/>
      <w:r w:rsidRPr="00F9707C">
        <w:rPr>
          <w:rFonts w:ascii="Times New Roman" w:eastAsia="Times New Roman" w:hAnsi="Times New Roman"/>
          <w:b/>
          <w:lang w:val="en-US"/>
        </w:rPr>
        <w:t>:</w:t>
      </w:r>
      <w:r w:rsidRPr="00F9707C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="00951020" w:rsidRPr="00F9707C">
        <w:rPr>
          <w:rFonts w:ascii="Times New Roman" w:eastAsia="Times New Roman" w:hAnsi="Times New Roman"/>
          <w:lang w:val="en-US"/>
        </w:rPr>
        <w:t>setiembre</w:t>
      </w:r>
      <w:proofErr w:type="spellEnd"/>
      <w:r w:rsidR="00951020" w:rsidRPr="00F9707C">
        <w:rPr>
          <w:rFonts w:ascii="Times New Roman" w:eastAsia="Times New Roman" w:hAnsi="Times New Roman"/>
          <w:lang w:val="en-US"/>
        </w:rPr>
        <w:t xml:space="preserve"> de 2026</w:t>
      </w:r>
      <w:r w:rsidRPr="00F9707C">
        <w:rPr>
          <w:rFonts w:ascii="Times New Roman" w:eastAsia="Times New Roman" w:hAnsi="Times New Roman"/>
          <w:lang w:val="en-US"/>
        </w:rPr>
        <w:t>.</w:t>
      </w:r>
    </w:p>
    <w:p w:rsidR="00286C12" w:rsidRPr="00F9707C" w:rsidRDefault="00F27056">
      <w:pPr>
        <w:spacing w:after="120"/>
        <w:ind w:left="288"/>
        <w:rPr>
          <w:rFonts w:ascii="Consolas" w:eastAsia="Times New Roman" w:hAnsi="Consolas"/>
          <w:sz w:val="17"/>
          <w:lang w:val="en-US"/>
        </w:rPr>
      </w:pPr>
      <w:r w:rsidRPr="00F9707C">
        <w:rPr>
          <w:rFonts w:ascii="Consolas" w:eastAsia="Times New Roman" w:hAnsi="Consolas"/>
          <w:sz w:val="17"/>
          <w:lang w:val="en-US"/>
        </w:rPr>
        <w:t xml:space="preserve">TITLE-ABS-KEY(("generative AI" OR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genAI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 OR "large language model*" OR LLM* OR "agentic AI" OR "AI agent*" OR "LLM agent*" OR "multi-agent") AND ("reference architecture*" OR "enterprise architecture" OR "architectural framework*" OR TOGAF OR ArchiMate) AND ("software development" OR "software engineering" OR "code generation" OR SDLC) AND (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complian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regulat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verif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validat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>* OR governance)) AND PUBYEAR &gt; 2021</w:t>
      </w:r>
    </w:p>
    <w:p w:rsidR="00CA7381" w:rsidRPr="00F9707C" w:rsidRDefault="00CA7381" w:rsidP="00D4578A">
      <w:pPr>
        <w:spacing w:after="120"/>
        <w:jc w:val="both"/>
        <w:rPr>
          <w:rFonts w:ascii="Times New Roman" w:eastAsia="Times New Roman" w:hAnsi="Times New Roman"/>
          <w:lang w:val="en-US"/>
        </w:rPr>
      </w:pPr>
    </w:p>
    <w:p w:rsidR="00D4578A" w:rsidRPr="00F9707C" w:rsidRDefault="00D4578A" w:rsidP="00D4578A">
      <w:pPr>
        <w:spacing w:after="120"/>
        <w:jc w:val="both"/>
      </w:pPr>
      <w:r w:rsidRPr="00F9707C">
        <w:rPr>
          <w:rFonts w:ascii="Times New Roman" w:eastAsia="Times New Roman" w:hAnsi="Times New Roman"/>
        </w:rPr>
        <w:t>La cadena combina cuatro bloques conceptuales (IA generativa/</w:t>
      </w:r>
      <w:proofErr w:type="spellStart"/>
      <w:r w:rsidRPr="00F9707C">
        <w:rPr>
          <w:rFonts w:ascii="Times New Roman" w:eastAsia="Times New Roman" w:hAnsi="Times New Roman"/>
        </w:rPr>
        <w:t>agéntica</w:t>
      </w:r>
      <w:proofErr w:type="spellEnd"/>
      <w:r w:rsidRPr="00F9707C">
        <w:rPr>
          <w:rFonts w:ascii="Times New Roman" w:eastAsia="Times New Roman" w:hAnsi="Times New Roman"/>
        </w:rPr>
        <w:t xml:space="preserve"> · arquitectura de referencia/empresarial · desarrollo de software · cumplimiento/gobernanza) unidos con AND; los sinónimos de cada bloque se unen con OR y se usan comodines para cubrir variantes morfológicas.</w:t>
      </w:r>
    </w:p>
    <w:p w:rsidR="00D4578A" w:rsidRPr="00F9707C" w:rsidRDefault="00D4578A" w:rsidP="00D4578A">
      <w:pPr>
        <w:spacing w:after="120"/>
      </w:pPr>
    </w:p>
    <w:p w:rsidR="00D4578A" w:rsidRPr="00F9707C" w:rsidRDefault="00D4578A" w:rsidP="00D4578A">
      <w:pPr>
        <w:spacing w:after="80"/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  <w:b/>
        </w:rPr>
        <w:t>Base de datos:</w:t>
      </w:r>
      <w:r>
        <w:rPr>
          <w:rFonts w:ascii="Times New Roman" w:eastAsia="Times New Roman" w:hAnsi="Times New Roman"/>
        </w:rPr>
        <w:t xml:space="preserve"> Semantic Scholar. </w:t>
      </w:r>
      <w:r>
        <w:rPr>
          <w:rFonts w:ascii="Times New Roman" w:eastAsia="Times New Roman" w:hAnsi="Times New Roman"/>
          <w:b/>
        </w:rPr>
        <w:t>Filtro temporal:</w:t>
      </w:r>
      <w:r>
        <w:rPr>
          <w:rFonts w:ascii="Times New Roman" w:eastAsia="Times New Roman" w:hAnsi="Times New Roman"/>
        </w:rPr>
        <w:t xml:space="preserve"> año de publicación 2022–2026 (equivalente a PUBYEAR &gt; 2021 en Scopus). </w:t>
      </w:r>
      <w:r>
        <w:rPr>
          <w:rFonts w:ascii="Times New Roman" w:eastAsia="Times New Roman" w:hAnsi="Times New Roman"/>
          <w:b/>
        </w:rPr>
        <w:t>Resultado:</w:t>
      </w:r>
      <w:r>
        <w:rPr>
          <w:rFonts w:ascii="Times New Roman" w:eastAsia="Times New Roman" w:hAnsi="Times New Roman"/>
        </w:rPr>
        <w:t xml:space="preserve"> 2 documentos. </w:t>
      </w:r>
      <w:r>
        <w:rPr>
          <w:rFonts w:ascii="Times New Roman" w:eastAsia="Times New Roman" w:hAnsi="Times New Roman"/>
          <w:b/>
        </w:rPr>
        <w:t>Fecha de ejecución:</w:t>
      </w:r>
      <w:r>
        <w:rPr>
          <w:rFonts w:ascii="Times New Roman" w:eastAsia="Times New Roman" w:hAnsi="Times New Roman"/>
        </w:rPr>
        <w:t xml:space="preserve"> octubre de 2026.</w:t>
      </w:r>
    </w:p>
    <w:p w:rsidR="00D4578A" w:rsidRPr="00F9707C" w:rsidRDefault="00D4578A" w:rsidP="00D4578A">
      <w:pPr>
        <w:spacing w:after="120"/>
        <w:ind w:left="288"/>
        <w:rPr>
          <w:rFonts w:ascii="Consolas" w:eastAsia="Times New Roman" w:hAnsi="Consolas"/>
          <w:sz w:val="17"/>
          <w:lang w:val="en-US"/>
        </w:rPr>
      </w:pPr>
      <w:r w:rsidRPr="00F9707C">
        <w:rPr>
          <w:rFonts w:ascii="Consolas" w:eastAsia="Times New Roman" w:hAnsi="Consolas"/>
          <w:sz w:val="17"/>
          <w:lang w:val="en-US"/>
        </w:rPr>
        <w:t xml:space="preserve">("generative AI" |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genAI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 | "large language model" | "large language models" | LLM* | "agentic AI" | "AI agent" | "AI agents" | "LLM agent" | "LLM agents" | "multi-agent") + ("reference architecture" | "reference architectures" | "enterprise architecture" | "architectural framework" | "architectural frameworks" | TOGAF | ArchiMate) + ("software development" | "software engineering" | "code generation" | SDLC) + (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complian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|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regulat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|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verif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 xml:space="preserve">* | </w:t>
      </w:r>
      <w:proofErr w:type="spellStart"/>
      <w:r w:rsidRPr="00F9707C">
        <w:rPr>
          <w:rFonts w:ascii="Consolas" w:eastAsia="Times New Roman" w:hAnsi="Consolas"/>
          <w:sz w:val="17"/>
          <w:lang w:val="en-US"/>
        </w:rPr>
        <w:t>validat</w:t>
      </w:r>
      <w:proofErr w:type="spellEnd"/>
      <w:r w:rsidRPr="00F9707C">
        <w:rPr>
          <w:rFonts w:ascii="Consolas" w:eastAsia="Times New Roman" w:hAnsi="Consolas"/>
          <w:sz w:val="17"/>
          <w:lang w:val="en-US"/>
        </w:rPr>
        <w:t>* | governance)</w:t>
      </w:r>
    </w:p>
    <w:p w:rsidR="00D4578A" w:rsidRPr="00F9707C" w:rsidRDefault="00D4578A" w:rsidP="00D4578A">
      <w:pPr>
        <w:spacing w:after="120"/>
        <w:rPr>
          <w:lang w:val="en-US"/>
        </w:rPr>
      </w:pPr>
    </w:p>
    <w:p w:rsidR="00D4578A" w:rsidRPr="00F9707C" w:rsidRDefault="00672AE5" w:rsidP="00CA7381">
      <w:pPr>
        <w:spacing w:after="120"/>
        <w:jc w:val="both"/>
        <w:rPr>
          <w:rFonts w:ascii="Times New Roman" w:eastAsia="Times New Roman" w:hAnsi="Times New Roman"/>
          <w:b/>
        </w:rPr>
      </w:pPr>
      <w:r w:rsidRPr="00F9707C">
        <w:rPr>
          <w:rFonts w:ascii="Times New Roman" w:eastAsia="Times New Roman" w:hAnsi="Times New Roman"/>
          <w:b/>
        </w:rPr>
        <w:t>Base de datos en Perú</w:t>
      </w:r>
    </w:p>
    <w:p w:rsidR="00672AE5" w:rsidRPr="00F9707C" w:rsidRDefault="00672AE5" w:rsidP="00CA7381">
      <w:pPr>
        <w:spacing w:after="120"/>
        <w:jc w:val="both"/>
        <w:rPr>
          <w:rFonts w:ascii="Times New Roman" w:eastAsia="Times New Roman" w:hAnsi="Times New Roman"/>
        </w:rPr>
      </w:pPr>
    </w:p>
    <w:p w:rsidR="00672AE5" w:rsidRPr="00F9707C" w:rsidRDefault="00672AE5" w:rsidP="00CA7381">
      <w:pPr>
        <w:spacing w:after="120"/>
        <w:jc w:val="both"/>
        <w:rPr>
          <w:rFonts w:ascii="Times New Roman" w:eastAsia="Times New Roman" w:hAnsi="Times New Roman"/>
          <w:b/>
        </w:rPr>
      </w:pPr>
      <w:r w:rsidRPr="00F9707C">
        <w:rPr>
          <w:rFonts w:ascii="Times New Roman" w:eastAsia="Times New Roman" w:hAnsi="Times New Roman"/>
          <w:b/>
        </w:rPr>
        <w:t>ALICIA — CONCYTEC</w:t>
      </w:r>
    </w:p>
    <w:p w:rsidR="00672AE5" w:rsidRPr="00F9707C" w:rsidRDefault="000D34AC" w:rsidP="00CA7381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 xml:space="preserve">Filtro: </w:t>
      </w:r>
      <w:r w:rsidR="00B9262B" w:rsidRPr="00F9707C">
        <w:rPr>
          <w:rFonts w:ascii="Times New Roman" w:eastAsia="Times New Roman" w:hAnsi="Times New Roman"/>
        </w:rPr>
        <w:t>(</w:t>
      </w:r>
      <w:r w:rsidRPr="00F9707C">
        <w:rPr>
          <w:rFonts w:ascii="Times New Roman" w:eastAsia="Times New Roman" w:hAnsi="Times New Roman"/>
        </w:rPr>
        <w:t>arquitectura de referencia and TOGAF and inteligencia artificial generativa</w:t>
      </w:r>
      <w:r w:rsidR="00B9262B" w:rsidRPr="00F9707C">
        <w:rPr>
          <w:rFonts w:ascii="Times New Roman" w:eastAsia="Times New Roman" w:hAnsi="Times New Roman"/>
        </w:rPr>
        <w:t>)</w:t>
      </w:r>
    </w:p>
    <w:p w:rsidR="000D34AC" w:rsidRPr="00F9707C" w:rsidRDefault="006F209D" w:rsidP="00CA7381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>Resultado cero (0)</w:t>
      </w:r>
    </w:p>
    <w:p w:rsidR="000D34AC" w:rsidRPr="00F9707C" w:rsidRDefault="000D34AC" w:rsidP="00CA7381">
      <w:pPr>
        <w:spacing w:after="120"/>
        <w:jc w:val="both"/>
        <w:rPr>
          <w:rFonts w:ascii="Times New Roman" w:eastAsia="Times New Roman" w:hAnsi="Times New Roman"/>
        </w:rPr>
      </w:pPr>
    </w:p>
    <w:p w:rsidR="000D34AC" w:rsidRPr="00F9707C" w:rsidRDefault="000D34AC" w:rsidP="00CA7381">
      <w:pPr>
        <w:spacing w:after="120"/>
        <w:jc w:val="both"/>
        <w:rPr>
          <w:rFonts w:ascii="Times New Roman" w:eastAsia="Times New Roman" w:hAnsi="Times New Roman"/>
        </w:rPr>
      </w:pPr>
    </w:p>
    <w:p w:rsidR="00672AE5" w:rsidRPr="00F9707C" w:rsidRDefault="00672AE5" w:rsidP="00CA7381">
      <w:pPr>
        <w:spacing w:after="120"/>
        <w:jc w:val="both"/>
        <w:rPr>
          <w:rFonts w:ascii="Times New Roman" w:eastAsia="Times New Roman" w:hAnsi="Times New Roman"/>
          <w:b/>
        </w:rPr>
      </w:pPr>
      <w:r w:rsidRPr="00F9707C">
        <w:rPr>
          <w:rFonts w:ascii="Times New Roman" w:eastAsia="Times New Roman" w:hAnsi="Times New Roman"/>
          <w:b/>
        </w:rPr>
        <w:t>RENATI — SUNEDU</w:t>
      </w:r>
    </w:p>
    <w:p w:rsidR="00672AE5" w:rsidRPr="00F9707C" w:rsidRDefault="00DA2D71" w:rsidP="00CA7381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 xml:space="preserve">Filtro: </w:t>
      </w:r>
      <w:r w:rsidR="00B9262B" w:rsidRPr="00F9707C">
        <w:rPr>
          <w:rFonts w:ascii="Times New Roman" w:eastAsia="Times New Roman" w:hAnsi="Times New Roman"/>
        </w:rPr>
        <w:t>(</w:t>
      </w:r>
      <w:r w:rsidR="006F209D" w:rsidRPr="00F9707C">
        <w:rPr>
          <w:rFonts w:ascii="Times New Roman" w:eastAsia="Times New Roman" w:hAnsi="Times New Roman"/>
        </w:rPr>
        <w:t>arquitectura de referencia and TOGAF</w:t>
      </w:r>
      <w:r w:rsidR="00B9262B" w:rsidRPr="00F9707C">
        <w:rPr>
          <w:rFonts w:ascii="Times New Roman" w:eastAsia="Times New Roman" w:hAnsi="Times New Roman"/>
        </w:rPr>
        <w:t>)</w:t>
      </w:r>
    </w:p>
    <w:p w:rsidR="006F209D" w:rsidRPr="00F9707C" w:rsidRDefault="006F209D" w:rsidP="00CA7381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>Resultado cero (0)</w:t>
      </w:r>
    </w:p>
    <w:p w:rsidR="00672AE5" w:rsidRPr="00F9707C" w:rsidRDefault="00672AE5" w:rsidP="00CA7381">
      <w:pPr>
        <w:spacing w:after="120"/>
      </w:pP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Criterios de elegibilidad y procedimiento de selección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4896"/>
      </w:tblGrid>
      <w:tr w:rsidR="00286C12" w:rsidRPr="00F9707C">
        <w:trPr>
          <w:tblHeader/>
          <w:jc w:val="center"/>
        </w:trPr>
        <w:tc>
          <w:tcPr>
            <w:tcW w:w="4896" w:type="dxa"/>
            <w:shd w:val="clear" w:color="auto" w:fill="1F3864"/>
          </w:tcPr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8"/>
              </w:rPr>
              <w:t>Inclusión</w:t>
            </w:r>
          </w:p>
        </w:tc>
        <w:tc>
          <w:tcPr>
            <w:tcW w:w="4896" w:type="dxa"/>
            <w:shd w:val="clear" w:color="auto" w:fill="1F3864"/>
          </w:tcPr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8"/>
              </w:rPr>
              <w:t>Exclusión</w:t>
            </w:r>
          </w:p>
        </w:tc>
      </w:tr>
      <w:tr w:rsidR="00286C12" w:rsidRPr="00F9707C">
        <w:trPr>
          <w:cantSplit/>
          <w:jc w:val="center"/>
        </w:trPr>
        <w:tc>
          <w:tcPr>
            <w:tcW w:w="4896" w:type="dxa"/>
          </w:tcPr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CI1. Aborda IA generativa, LLM o agentes de IA.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CI2. Propone, evalúa o discute una arquitectura de referencia, arquitectura empresarial, framework o patrones arquitectónicos.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CI3. Se ubica en ingeniería de software / SDLC o en la integración empresarial de estos sistemas.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CI4. Trata cumplimiento, verificación, seguridad o gobernanza.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CI5. Publicado entre 2022 y 2026, revisado por pares (artículo o conferencia).</w:t>
            </w:r>
          </w:p>
        </w:tc>
        <w:tc>
          <w:tcPr>
            <w:tcW w:w="4896" w:type="dxa"/>
          </w:tcPr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CE1. Duplicados.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CE2. Registros sin texto accesible o sin resumen.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CE3. Trabajos que usan la IA solo como herramienta de análisis, sin componente arquitectónico ni de gobernanza.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CE4. Idioma distinto del inglés o español.</w:t>
            </w:r>
          </w:p>
          <w:p w:rsidR="00286C12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8"/>
              </w:rPr>
              <w:t>CE5. Literatura gris, tesis o capítulos sin revisión por pares.</w:t>
            </w:r>
          </w:p>
        </w:tc>
      </w:tr>
    </w:tbl>
    <w:p w:rsidR="00286C12" w:rsidRPr="00F9707C" w:rsidRDefault="00286C12">
      <w:pPr>
        <w:spacing w:after="40"/>
      </w:pPr>
    </w:p>
    <w:p w:rsidR="008C478E" w:rsidRPr="00F9707C" w:rsidRDefault="00F27056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  <w:b/>
        </w:rPr>
        <w:t>Procedimiento.</w:t>
      </w:r>
    </w:p>
    <w:p w:rsidR="008C478E" w:rsidRPr="00F9707C" w:rsidRDefault="008C478E">
      <w:pPr>
        <w:spacing w:after="120"/>
        <w:jc w:val="both"/>
        <w:rPr>
          <w:rFonts w:ascii="Times New Roman" w:eastAsia="Times New Roman" w:hAnsi="Times New Roman"/>
        </w:rPr>
      </w:pPr>
    </w:p>
    <w:p w:rsidR="00C933E0" w:rsidRPr="00F9707C" w:rsidRDefault="00F27056" w:rsidP="00C933E0">
      <w:pPr>
        <w:pStyle w:val="Prrafodelista"/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/>
        </w:rPr>
      </w:pPr>
      <w:proofErr w:type="spellStart"/>
      <w:r w:rsidRPr="00F9707C">
        <w:rPr>
          <w:rFonts w:ascii="Times New Roman" w:eastAsia="Times New Roman" w:hAnsi="Times New Roman"/>
        </w:rPr>
        <w:t>Scopus</w:t>
      </w:r>
      <w:proofErr w:type="spellEnd"/>
      <w:r w:rsidRPr="00F9707C">
        <w:rPr>
          <w:rFonts w:ascii="Times New Roman" w:eastAsia="Times New Roman" w:hAnsi="Times New Roman"/>
        </w:rPr>
        <w:t xml:space="preserve"> devolvió </w:t>
      </w:r>
      <w:r w:rsidR="002D55DC" w:rsidRPr="00F9707C">
        <w:rPr>
          <w:rFonts w:ascii="Times New Roman" w:eastAsia="Times New Roman" w:hAnsi="Times New Roman"/>
        </w:rPr>
        <w:t>21</w:t>
      </w:r>
      <w:r w:rsidRPr="00F9707C">
        <w:rPr>
          <w:rFonts w:ascii="Times New Roman" w:eastAsia="Times New Roman" w:hAnsi="Times New Roman"/>
        </w:rPr>
        <w:t xml:space="preserve"> documentos</w:t>
      </w:r>
      <w:r w:rsidR="00C933E0" w:rsidRPr="00F9707C">
        <w:rPr>
          <w:rFonts w:ascii="Times New Roman" w:eastAsia="Times New Roman" w:hAnsi="Times New Roman"/>
        </w:rPr>
        <w:t>.</w:t>
      </w:r>
    </w:p>
    <w:p w:rsidR="00F27056" w:rsidRPr="00F9707C" w:rsidRDefault="008C478E" w:rsidP="00C933E0">
      <w:pPr>
        <w:pStyle w:val="Prrafodelista"/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/>
        </w:rPr>
      </w:pPr>
      <w:proofErr w:type="spellStart"/>
      <w:r w:rsidRPr="00F9707C">
        <w:rPr>
          <w:rFonts w:ascii="Times New Roman" w:eastAsia="Times New Roman" w:hAnsi="Times New Roman"/>
        </w:rPr>
        <w:t>Semantic</w:t>
      </w:r>
      <w:proofErr w:type="spellEnd"/>
      <w:r w:rsidRPr="00F9707C">
        <w:rPr>
          <w:rFonts w:ascii="Times New Roman" w:eastAsia="Times New Roman" w:hAnsi="Times New Roman"/>
        </w:rPr>
        <w:t xml:space="preserve"> </w:t>
      </w:r>
      <w:proofErr w:type="spellStart"/>
      <w:r w:rsidR="00592415" w:rsidRPr="00F9707C">
        <w:rPr>
          <w:rFonts w:ascii="Times New Roman" w:eastAsia="Times New Roman" w:hAnsi="Times New Roman"/>
        </w:rPr>
        <w:t>S</w:t>
      </w:r>
      <w:r w:rsidRPr="00F9707C">
        <w:rPr>
          <w:rFonts w:ascii="Times New Roman" w:eastAsia="Times New Roman" w:hAnsi="Times New Roman"/>
        </w:rPr>
        <w:t>cholar</w:t>
      </w:r>
      <w:proofErr w:type="spellEnd"/>
      <w:r w:rsidRPr="00F9707C">
        <w:rPr>
          <w:rFonts w:ascii="Times New Roman" w:eastAsia="Times New Roman" w:hAnsi="Times New Roman"/>
        </w:rPr>
        <w:t xml:space="preserve"> devolvió 2 documentos</w:t>
      </w:r>
    </w:p>
    <w:p w:rsidR="00C933E0" w:rsidRPr="00F9707C" w:rsidRDefault="00C933E0" w:rsidP="00C933E0">
      <w:pPr>
        <w:pStyle w:val="Prrafodelista"/>
        <w:numPr>
          <w:ilvl w:val="0"/>
          <w:numId w:val="16"/>
        </w:numPr>
        <w:spacing w:after="120"/>
      </w:pPr>
      <w:r w:rsidRPr="00F9707C">
        <w:rPr>
          <w:rFonts w:ascii="Times New Roman" w:hAnsi="Times New Roman" w:eastAsia="Times New Roman"/>
        </w:rPr>
        <w:t>ALICIA devolvió 0 (cero) documentos.</w:t>
      </w:r>
    </w:p>
    <w:p w:rsidR="00C933E0" w:rsidRPr="00F9707C" w:rsidRDefault="00C933E0" w:rsidP="00C933E0">
      <w:pPr>
        <w:pStyle w:val="Prrafodelista"/>
        <w:numPr>
          <w:ilvl w:val="0"/>
          <w:numId w:val="16"/>
        </w:numPr>
        <w:spacing w:after="120"/>
      </w:pPr>
      <w:r w:rsidRPr="00F9707C">
        <w:rPr>
          <w:rFonts w:ascii="Times New Roman" w:hAnsi="Times New Roman" w:eastAsia="Times New Roman"/>
        </w:rPr>
        <w:t>RENATI — SUNEDU devolvió 0 (cero) documentos.</w:t>
      </w:r>
    </w:p>
    <w:p w:rsidR="00C933E0" w:rsidRPr="00F9707C" w:rsidRDefault="00C933E0">
      <w:pPr>
        <w:spacing w:after="120"/>
        <w:jc w:val="both"/>
        <w:rPr>
          <w:rFonts w:ascii="Times New Roman" w:eastAsia="Times New Roman" w:hAnsi="Times New Roman"/>
        </w:rPr>
      </w:pPr>
    </w:p>
    <w:p w:rsidR="00C933E0" w:rsidRPr="00F9707C" w:rsidRDefault="00E76105" w:rsidP="00E76105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>Los 23 registros se cribaron frente a CI1–CI5 y CE1–CE5 usando título y metadatos. Resultaron 10 estudios incluidos (cumplen el requisito del entregable de analizar 10 papers), 4 registros en reserva por CI3/CI4 no evidentes (pendientes de verificar el resumen) y 9 excluidos. El detalle por registro figura en la Tabla 1 y los totales en el diagrama PRISMA.</w:t>
      </w:r>
    </w:p>
    <w:p w:rsidR="00F27056" w:rsidRPr="00F9707C" w:rsidRDefault="00F27056">
      <w:pPr>
        <w:spacing w:after="120"/>
        <w:jc w:val="both"/>
      </w:pPr>
    </w:p>
    <w:p w:rsidR="005532DE" w:rsidRPr="00F9707C" w:rsidRDefault="00115B6C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Resultados de la búsqueda (n = 23)</w:t>
      </w:r>
    </w:p>
    <w:p w:rsidR="005532DE" w:rsidRPr="00F9707C" w:rsidRDefault="00115B6C">
      <w:pPr>
        <w:keepNext/>
        <w:spacing w:after="120"/>
        <w:jc w:val="both"/>
      </w:pPr>
      <w:r w:rsidRPr="00F9707C">
        <w:rPr>
          <w:rFonts w:ascii="Times New Roman" w:eastAsia="Times New Roman" w:hAnsi="Times New Roman"/>
        </w:rPr>
        <w:t>La Tabla 1 consolida los 23 registros identificados: 21 de Scopus (en el orden por defecto del listado) y 2 de Semantic Scholar. ALICIA–CONCYTEC y RENATI–SUNEDU devolvieron 0 registros. Cada registro se cribó frente a los criterios CI1–CI5 y CE1–CE5 usando título y metadatos, porque la exportación no incluye resúmenes. Verde: seleccionado; amarillo: cumple lo evidenciable pero queda en reserva; sin color: excluido.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0"/>
        <w:gridCol w:w="850"/>
        <w:gridCol w:w="1150"/>
        <w:gridCol w:w="430"/>
        <w:gridCol w:w="2530"/>
      </w:tblGrid>
      <w:tr w:rsidR="005532DE" w:rsidRPr="00F9707C">
        <w:trPr>
          <w:cantSplit/>
          <w:tblHeader/>
          <w:jc w:val="center"/>
        </w:trPr>
        <w:tc>
          <w:tcPr>
            <w:tcW w:w="40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#</w:t>
            </w:r>
          </w:p>
        </w:tc>
        <w:tc>
          <w:tcPr>
            <w:tcW w:w="400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Referencia (autores, año, título, fuente)</w:t>
            </w:r>
          </w:p>
        </w:tc>
        <w:tc>
          <w:tcPr>
            <w:tcW w:w="85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Base</w:t>
            </w:r>
          </w:p>
        </w:tc>
        <w:tc>
          <w:tcPr>
            <w:tcW w:w="115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Tipo</w:t>
            </w:r>
          </w:p>
        </w:tc>
        <w:tc>
          <w:tcPr>
            <w:tcW w:w="43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Cit.</w:t>
            </w:r>
          </w:p>
        </w:tc>
        <w:tc>
          <w:tcPr>
            <w:tcW w:w="253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Decisión de cribado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Jeong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Cho &amp; Woo (2027). Architecting Reliable LLM-Integrated Simulation: From Code Generation to Tool-Augmented Interaction in Production Planning.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IFIP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Advances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in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Information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and Communication Technology, 811.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CI5 (año 2027 en Scopus, fuera de 2022–2026); CI4 no evidente.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[Sin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autores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] (2027). 25th International Conference on Perspectives in Business Informatics Research, BIR 2026.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Lecture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Notes in Business Information Processing, 601.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Reseña de 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CE2 (actas sin autores ni resumen de estudio).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lastRenderedPageBreak/>
              <w:t>3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  <w:rPr>
                <w:lang w:val="en-US"/>
              </w:rPr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Do Val Lopes, Pitta, Belem, Alves &amp; Martins (2026). Engineering AI Agents for Clinical Workflows: A Case Study in Architecture,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MLOps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, and Governance. Proc. IEEE/ACM 5th Int. Conf. on AI Engineering (CAIN 2026).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  <w:proofErr w:type="spellEnd"/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#1).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400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 xml:space="preserve">Bandeira, De Oliveira, Maia, Aderaldo &amp; Mendonça (2026). </w:t>
            </w: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LLM-Native Applications: Toward a New Paradigm in Software Engineering.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ICSE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Companion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2026.</w:t>
            </w:r>
          </w:p>
        </w:tc>
        <w:tc>
          <w:tcPr>
            <w:tcW w:w="8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No seleccionado: CI4 no evidente en título/metadatos (reserva; verificar resumen).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Alenezi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Akour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Al-Omari (2026). Agentic Artificial Intelligence in Software Engineering: Integration Points, Architectural Frameworks, Empirical Evaluation, and Governance.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International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Technology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, 17(4).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Artículo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#2).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400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Elsisi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Santos &amp; Melo (2026). Lifecycle-Aware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GenAI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Assistance with MCP via Context Refinement Loops: A Reference Architecture.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FSE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Companion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2026.</w:t>
            </w:r>
          </w:p>
        </w:tc>
        <w:tc>
          <w:tcPr>
            <w:tcW w:w="8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No seleccionado: CI4 no evidente en título/metadatos (reserva; verificar resumen).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Stein (2026). Toward a taxonomy of generative AI use cases in business contexts: Integrating complexity, risk, and strategy.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Computational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Science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, 96, 102826.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Artículo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#3).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 xml:space="preserve">Kushnerov, Sokol, Akhiiezer, … Nadtochyi &amp; Balagura (2026). </w:t>
            </w: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Zero-trust Conceptual Architecture for Secure Integration of Large Language Models and Autonomous AI Agents. </w:t>
            </w:r>
            <w:r w:rsidRPr="00F9707C">
              <w:rPr>
                <w:rFonts w:ascii="Times New Roman" w:eastAsia="Times New Roman" w:hAnsi="Times New Roman"/>
                <w:sz w:val="17"/>
              </w:rPr>
              <w:t>ICHORA 2026.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#4).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Aldas-Alarcón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Carrera (2026). Mitigation of Artificial Intelligence Technical Debt and Its Impact on the Success of Institutional Information Systems During the Digital Transformation of Higher Education. </w:t>
            </w:r>
            <w:r w:rsidRPr="00F9707C">
              <w:rPr>
                <w:rFonts w:ascii="Times New Roman" w:eastAsia="Times New Roman" w:hAnsi="Times New Roman"/>
                <w:sz w:val="17"/>
              </w:rPr>
              <w:t>ICEDEG (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Part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F228401).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CI1/CI2 (IA en general, no IA generativa/LLM/agentes; sin componente arquitectónico explícito).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Siddhu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Pappu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Thanvi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Compliance-Aware Generative AI for Life Insurance Document Synthesis: A Reference Architecture. </w:t>
            </w:r>
            <w:r w:rsidRPr="00F9707C">
              <w:rPr>
                <w:rFonts w:ascii="Times New Roman" w:eastAsia="Times New Roman" w:hAnsi="Times New Roman"/>
                <w:sz w:val="17"/>
              </w:rPr>
              <w:t>ICAISET 2026.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—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#5).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11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Karuppuchamy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Governed Agentic AI for Software Platforms: A Reference Architecture for Safe Autonomy at Scale.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IEEE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SoutheastCon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2026.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#6).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12</w:t>
            </w:r>
          </w:p>
        </w:tc>
        <w:tc>
          <w:tcPr>
            <w:tcW w:w="400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Moriarty (2026). From Classroom to Enterprise: Architectural Patterns for LLM Integration.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IEEE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SysCon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2026.</w:t>
            </w:r>
          </w:p>
        </w:tc>
        <w:tc>
          <w:tcPr>
            <w:tcW w:w="8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No seleccionado: CI4 no evidente en título/metadatos (reserva; verificar resumen).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13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Enyedi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Human-Certified Module Repositories for the AI Age. </w:t>
            </w:r>
            <w:r w:rsidRPr="00F9707C">
              <w:rPr>
                <w:rFonts w:ascii="Times New Roman" w:eastAsia="Times New Roman" w:hAnsi="Times New Roman"/>
                <w:sz w:val="17"/>
              </w:rPr>
              <w:t>IEEE AQTR 2026.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#7).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14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Pokala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Agentic Dashboard Generation from Natural Language on Lakehouse Platforms. </w:t>
            </w:r>
            <w:r w:rsidRPr="00F9707C">
              <w:rPr>
                <w:rFonts w:ascii="Times New Roman" w:eastAsia="Times New Roman" w:hAnsi="Times New Roman"/>
                <w:sz w:val="17"/>
              </w:rPr>
              <w:t>ICAISET 2026.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CE3/CI4 (IA como herramienta de generación de dashboards; sin componente de gobernanza).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15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Moraes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Onofre &amp; Aguiar (2026). Safeguarding Big Data Question-Answering Systems with a Two-Layer Input Guardrails. </w:t>
            </w:r>
            <w:r w:rsidRPr="00F9707C">
              <w:rPr>
                <w:rFonts w:ascii="Times New Roman" w:eastAsia="Times New Roman" w:hAnsi="Times New Roman"/>
                <w:sz w:val="17"/>
              </w:rPr>
              <w:t>ICEIS 2026, vol. 1.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0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#8).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16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Jikeli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Model-Driven Development and Low-Code Platforms in Healthcare Digitalization: Opportunities and Challenges.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En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Advancements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in Digital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Health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and Care.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Capítulo de libro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CE5 (capítulo de libro); CI1 (no aborda IA generativa/LLM/agentes).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17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Zeydan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Aydeger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Bias-Free and Auto-Evolving Generative AI: Design Principles, Architectures, and Reinforcement Integration. </w:t>
            </w:r>
            <w:r w:rsidRPr="00F9707C">
              <w:rPr>
                <w:rFonts w:ascii="Times New Roman" w:eastAsia="Times New Roman" w:hAnsi="Times New Roman"/>
                <w:sz w:val="17"/>
              </w:rPr>
              <w:t>IEEE CCNC 2026.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#9).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lastRenderedPageBreak/>
              <w:t>18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Gadani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Next-Generation Cloud Automation with Generative AI.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En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Revolutionizing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the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Cloud: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Generative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AI, Security and Sustainability.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Capítulo de libro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CE5 (capítulo de libro).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19</w:t>
            </w:r>
          </w:p>
        </w:tc>
        <w:tc>
          <w:tcPr>
            <w:tcW w:w="400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Aminiranjbar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Tang, Wang, Pant &amp; Viswanathan (2025). DAWN: Designing Distributed Agents in a Worldwide Network. </w:t>
            </w:r>
            <w:r w:rsidRPr="00F9707C">
              <w:rPr>
                <w:rFonts w:ascii="Times New Roman" w:eastAsia="Times New Roman" w:hAnsi="Times New Roman"/>
                <w:sz w:val="17"/>
              </w:rPr>
              <w:t>IEEE Access, 13.</w:t>
            </w:r>
          </w:p>
        </w:tc>
        <w:tc>
          <w:tcPr>
            <w:tcW w:w="8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Artículo</w:t>
            </w:r>
          </w:p>
        </w:tc>
        <w:tc>
          <w:tcPr>
            <w:tcW w:w="430" w:type="dxa"/>
            <w:shd w:val="clear" w:color="auto" w:fill="FFF2CC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2530" w:type="dxa"/>
            <w:shd w:val="clear" w:color="auto" w:fill="FFF2CC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No seleccionado: CI3/CI4 no evidentes en título/metadatos (reserva; verificar resumen).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20</w:t>
            </w:r>
          </w:p>
        </w:tc>
        <w:tc>
          <w:tcPr>
            <w:tcW w:w="4000" w:type="dxa"/>
            <w:shd w:val="clear" w:color="auto" w:fill="E2EFDA"/>
          </w:tcPr>
          <w:p w:rsidR="005532DE" w:rsidRPr="00F9707C" w:rsidRDefault="00115B6C">
            <w:pPr>
              <w:spacing w:after="40"/>
              <w:rPr>
                <w:lang w:val="en-US"/>
              </w:rPr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Joshi (2024). Secure Software Architecture for Enterprise Generative Artificial Intelligence. Int. Scientific and Technical Conf. on Computer Sciences and Information Technologies.</w:t>
            </w:r>
          </w:p>
        </w:tc>
        <w:tc>
          <w:tcPr>
            <w:tcW w:w="8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  <w:proofErr w:type="spellEnd"/>
          </w:p>
        </w:tc>
        <w:tc>
          <w:tcPr>
            <w:tcW w:w="115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  <w:shd w:val="clear" w:color="auto" w:fill="E2EFD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2530" w:type="dxa"/>
            <w:shd w:val="clear" w:color="auto" w:fill="E2EFD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Seleccionado (Tabla 2, #10).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21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[Sin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autores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] (2024). 14th International Conference on Software Business, ICSOB 2023.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Lecture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Notes in Business Information Processing, 500.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Scopus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Reseña de 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—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CE2 (actas sin autores ni resumen de estudio); CI1.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22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  <w:rPr>
                <w:lang w:val="en-US"/>
              </w:rPr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Vasa (2024). Generative AI and Agentic Orchestration for Data Engineering in Multi-Domain Enterprise Analytics Platforms. International Journal of Artificial Intelligence, Data Science, and Machine Learning, 5(4).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Semantic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Scholar</w:t>
            </w:r>
            <w:proofErr w:type="spellEnd"/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Artículo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—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CI4 no evidente (validación de calidad de datos, no gobernanza de la IA); revisión por pares por confirmar (CE5).</w:t>
            </w:r>
          </w:p>
        </w:tc>
      </w:tr>
      <w:tr w:rsidR="005532DE" w:rsidRPr="00F9707C">
        <w:trPr>
          <w:cantSplit/>
          <w:jc w:val="center"/>
        </w:trPr>
        <w:tc>
          <w:tcPr>
            <w:tcW w:w="40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23</w:t>
            </w:r>
          </w:p>
        </w:tc>
        <w:tc>
          <w:tcPr>
            <w:tcW w:w="40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Maire,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Badmaev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… &amp;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Tirchas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Agentic AI Framework for Technical Excellence: A Scalable Discipline-Based Multimodal Assistant for the Subsurface.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IPTC Summit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AI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for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the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Energy Industry.</w:t>
            </w:r>
          </w:p>
        </w:tc>
        <w:tc>
          <w:tcPr>
            <w:tcW w:w="8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Semantic Scholar</w:t>
            </w:r>
          </w:p>
        </w:tc>
        <w:tc>
          <w:tcPr>
            <w:tcW w:w="115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Conferencia</w:t>
            </w:r>
          </w:p>
        </w:tc>
        <w:tc>
          <w:tcPr>
            <w:tcW w:w="43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—</w:t>
            </w:r>
          </w:p>
        </w:tc>
        <w:tc>
          <w:tcPr>
            <w:tcW w:w="253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Excluido: CI3/CI4 (dominio de subsuelo/energía; sin enfoque de ingeniería de software ni gobernanza).</w:t>
            </w:r>
          </w:p>
        </w:tc>
      </w:tr>
    </w:tbl>
    <w:p w:rsidR="005532DE" w:rsidRPr="00F9707C" w:rsidRDefault="00115B6C">
      <w:pPr>
        <w:spacing w:before="60" w:after="160"/>
        <w:jc w:val="center"/>
      </w:pPr>
      <w:r w:rsidRPr="00F9707C">
        <w:rPr>
          <w:rFonts w:ascii="Times New Roman" w:eastAsia="Times New Roman" w:hAnsi="Times New Roman"/>
          <w:i/>
          <w:sz w:val="19"/>
        </w:rPr>
        <w:t>Tabla 1. Resultados de la búsqueda y decisión de cribado. Cit. = citas en Scopus (— = sin dato). Fuente: elaboración propia a partir de Scopus y Semantic Scholar.</w:t>
      </w:r>
    </w:p>
    <w:p w:rsidR="005532DE" w:rsidRPr="00F9707C" w:rsidRDefault="00115B6C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Estudios seleccionados (n = 10)</w:t>
      </w:r>
    </w:p>
    <w:p w:rsidR="005532DE" w:rsidRPr="00F9707C" w:rsidRDefault="00115B6C">
      <w:pPr>
        <w:keepNext/>
        <w:spacing w:after="120"/>
        <w:jc w:val="both"/>
      </w:pPr>
      <w:r w:rsidRPr="00F9707C">
        <w:rPr>
          <w:rFonts w:ascii="Times New Roman" w:eastAsia="Times New Roman" w:hAnsi="Times New Roman"/>
        </w:rPr>
        <w:t>La Tabla 2 presenta los 10 estudios que cumplen CI1–CI5 y no incurren en CE1–CE5. Los registros #4, #6, #12 y #19 de la Tabla 1 cumplen el resto de criterios, pero CI4 (o CI3) no es evidente en título y metadatos; quedan como reserva hasta verificarlos en el resumen.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80"/>
        <w:gridCol w:w="3300"/>
        <w:gridCol w:w="480"/>
        <w:gridCol w:w="480"/>
        <w:gridCol w:w="480"/>
        <w:gridCol w:w="480"/>
        <w:gridCol w:w="480"/>
        <w:gridCol w:w="3260"/>
      </w:tblGrid>
      <w:tr w:rsidR="005532DE" w:rsidRPr="00F9707C">
        <w:trPr>
          <w:cantSplit/>
          <w:tblHeader/>
          <w:jc w:val="center"/>
        </w:trPr>
        <w:tc>
          <w:tcPr>
            <w:tcW w:w="3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#</w:t>
            </w:r>
          </w:p>
        </w:tc>
        <w:tc>
          <w:tcPr>
            <w:tcW w:w="330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Referencia</w:t>
            </w:r>
          </w:p>
        </w:tc>
        <w:tc>
          <w:tcPr>
            <w:tcW w:w="4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CI1</w:t>
            </w:r>
          </w:p>
        </w:tc>
        <w:tc>
          <w:tcPr>
            <w:tcW w:w="4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CI2</w:t>
            </w:r>
          </w:p>
        </w:tc>
        <w:tc>
          <w:tcPr>
            <w:tcW w:w="4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CI3</w:t>
            </w:r>
          </w:p>
        </w:tc>
        <w:tc>
          <w:tcPr>
            <w:tcW w:w="4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CI4</w:t>
            </w:r>
          </w:p>
        </w:tc>
        <w:tc>
          <w:tcPr>
            <w:tcW w:w="48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CI5</w:t>
            </w:r>
          </w:p>
        </w:tc>
        <w:tc>
          <w:tcPr>
            <w:tcW w:w="3260" w:type="dxa"/>
            <w:shd w:val="clear" w:color="auto" w:fill="1F3864"/>
            <w:vAlign w:val="center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Aporte / enfoque (base de lectura)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Do Val Lopes, Pitta, Belem, Alves &amp; Martins (2026). Engineering AI Agents for Clinical Workflows: A Case Study in Architecture,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MLOps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and Governance. </w:t>
            </w:r>
            <w:r w:rsidRPr="00F9707C">
              <w:rPr>
                <w:rFonts w:ascii="Times New Roman" w:eastAsia="Times New Roman" w:hAnsi="Times New Roman"/>
                <w:sz w:val="17"/>
              </w:rPr>
              <w:t>CAIN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Agentes de IA en flujos clínicos: caso de estudio sobre arquitectura, MLOps y gobernanza (por título). Dominio regulado (salud).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Alenezi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Akour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Al-Omari (2026). Agentic Artificial Intelligence in Software Engineering: Integration Points, Architectural Frameworks, Empirical Evaluation, and Governance.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International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Technology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, 17(4). Artículo.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Framework para integrar IA agéntica en el desarrollo; revisión sistemática y análisis multicaso de 4 proyectos empresariales; reporta sin violaciones de cumplimiento.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3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Stein (2026). Toward a taxonomy of generative AI use cases in business contexts: Integrating complexity, risk, and strategy.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Computational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Science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, 96, 102826. Artículo.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Taxonomía de cuatro capas de complejidad (A–D) y cinco perspectivas, que incluyen autonomía técnica y gobernanza de datos.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 xml:space="preserve">Kushnerov, Sokol, Akhiiezer, … Nadtochyi &amp; Balagura (2026). </w:t>
            </w: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Zero-trust Conceptual Architecture for Secure Integration of Large Language Models and Autonomous AI Agents. </w:t>
            </w:r>
            <w:r w:rsidRPr="00F9707C">
              <w:rPr>
                <w:rFonts w:ascii="Times New Roman" w:eastAsia="Times New Roman" w:hAnsi="Times New Roman"/>
                <w:sz w:val="17"/>
              </w:rPr>
              <w:t>ICHORA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Arquitectura conceptual zero-trust para integrar LLM y agentes autónomos de forma segura (por título).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Siddhu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Pappu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Thanvi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Compliance-Aware Generative AI for Life Insurance Document Synthesis: A Reference Architecture. </w:t>
            </w:r>
            <w:r w:rsidRPr="00F9707C">
              <w:rPr>
                <w:rFonts w:ascii="Times New Roman" w:eastAsia="Times New Roman" w:hAnsi="Times New Roman"/>
                <w:sz w:val="17"/>
              </w:rPr>
              <w:t>ICAISET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Arquitectura de referencia GenAI con conciencia de cumplimiento en un dominio regulado (seguros de vida) (por título).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lastRenderedPageBreak/>
              <w:t>6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Karuppuchamy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Governed Agentic AI for Software Platforms: A Reference Architecture for Safe Autonomy at Scale. </w:t>
            </w:r>
            <w:r w:rsidRPr="00F9707C">
              <w:rPr>
                <w:rFonts w:ascii="Times New Roman" w:eastAsia="Times New Roman" w:hAnsi="Times New Roman"/>
                <w:sz w:val="17"/>
              </w:rPr>
              <w:t xml:space="preserve">IEEE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SoutheastCon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Arquitectura de referencia para IA agéntica gobernada en plataformas de software (por título).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Enyedi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Human-Certified Module Repositories for the AI Age. </w:t>
            </w:r>
            <w:r w:rsidRPr="00F9707C">
              <w:rPr>
                <w:rFonts w:ascii="Times New Roman" w:eastAsia="Times New Roman" w:hAnsi="Times New Roman"/>
                <w:sz w:val="17"/>
              </w:rPr>
              <w:t>IEEE AQTR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Repositorios de módulos certificados por humanos, con procedencia y contratos de interfaz; diseño de referencia, análisis de vulnerabilidades y gobernanza (resumen en arXiv:2603.02512).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Moraes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, Onofre &amp; Aguiar (2026). Safeguarding Big Data Question-Answering Systems with a Two-Layer Input Guardrails. </w:t>
            </w:r>
            <w:r w:rsidRPr="00F9707C">
              <w:rPr>
                <w:rFonts w:ascii="Times New Roman" w:eastAsia="Times New Roman" w:hAnsi="Times New Roman"/>
                <w:sz w:val="17"/>
              </w:rPr>
              <w:t>ICEIS 2026, vol. 1.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Arquitectura de guardarraíles de entrada en dos capas para proteger sistemas de preguntas y respuestas sobre big data (por título).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Zeydan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&amp;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>Aydeger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Bias-Free and Auto-Evolving Generative AI: Design Principles, Architectures, and Reinforcement Integration. </w:t>
            </w:r>
            <w:r w:rsidRPr="00F9707C">
              <w:rPr>
                <w:rFonts w:ascii="Times New Roman" w:eastAsia="Times New Roman" w:hAnsi="Times New Roman"/>
                <w:sz w:val="17"/>
              </w:rPr>
              <w:t>IEEE CCNC 2026. 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Principios de diseño y arquitecturas para IA generativa libre de sesgo y autoevolutiva (por título).</w:t>
            </w:r>
          </w:p>
        </w:tc>
      </w:tr>
      <w:tr w:rsidR="005532DE" w:rsidRPr="00F9707C">
        <w:trPr>
          <w:cantSplit/>
          <w:jc w:val="center"/>
        </w:trPr>
        <w:tc>
          <w:tcPr>
            <w:tcW w:w="3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330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  <w:lang w:val="en-US"/>
              </w:rPr>
              <w:t xml:space="preserve">Joshi (2024). Secure Software Architecture for Enterprise Generative Artificial Intelligence. Int. Scientific and Technical Conf. on Computer Sciences and Information Technologies. </w:t>
            </w:r>
            <w:r w:rsidRPr="00F9707C">
              <w:rPr>
                <w:rFonts w:ascii="Times New Roman" w:eastAsia="Times New Roman" w:hAnsi="Times New Roman"/>
                <w:sz w:val="17"/>
              </w:rPr>
              <w:t>Conferencia.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480" w:type="dxa"/>
          </w:tcPr>
          <w:p w:rsidR="005532DE" w:rsidRPr="00F9707C" w:rsidRDefault="00115B6C">
            <w:pPr>
              <w:spacing w:after="40"/>
              <w:jc w:val="center"/>
            </w:pPr>
            <w:r w:rsidRPr="00F9707C">
              <w:rPr>
                <w:rFonts w:ascii="Times New Roman" w:eastAsia="Times New Roman" w:hAnsi="Times New Roman"/>
                <w:sz w:val="17"/>
              </w:rPr>
              <w:t>✓</w:t>
            </w:r>
          </w:p>
        </w:tc>
        <w:tc>
          <w:tcPr>
            <w:tcW w:w="3260" w:type="dxa"/>
          </w:tcPr>
          <w:p w:rsidR="005532DE" w:rsidRPr="00F9707C" w:rsidRDefault="00115B6C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Arquitectura de software segura para IA generativa empresarial (por título).</w:t>
            </w:r>
          </w:p>
        </w:tc>
      </w:tr>
    </w:tbl>
    <w:p w:rsidR="005532DE" w:rsidRPr="00F9707C" w:rsidRDefault="00115B6C">
      <w:pPr>
        <w:spacing w:before="60" w:after="160"/>
        <w:jc w:val="center"/>
      </w:pPr>
      <w:r w:rsidRPr="00F9707C">
        <w:rPr>
          <w:rFonts w:ascii="Times New Roman" w:eastAsia="Times New Roman" w:hAnsi="Times New Roman"/>
          <w:i/>
          <w:sz w:val="19"/>
        </w:rPr>
        <w:t>Tabla 2. Estudios seleccionados según los criterios de inclusión. CI1: IA generativa/LLM/agentes; CI2: arquitectura, framework o patrones; CI3: ingeniería de software o integración empresarial; CI4: cumplimiento, verificación, seguridad o gobernanza; CI5: 2022–2026, revisado por pares. Fuente: elaboración propia.</w:t>
      </w:r>
    </w:p>
    <w:p w:rsidR="00F5508D" w:rsidRPr="00F9707C" w:rsidRDefault="00F5508D">
      <w:pPr>
        <w:keepNext/>
        <w:spacing w:before="160" w:after="80"/>
        <w:rPr>
          <w:rFonts w:ascii="Times New Roman" w:eastAsia="Times New Roman" w:hAnsi="Times New Roman"/>
          <w:b/>
          <w:sz w:val="24"/>
        </w:rPr>
      </w:pP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Síntesis de hallazgos</w:t>
      </w:r>
    </w:p>
    <w:p w:rsidR="00286C12" w:rsidRPr="00F9707C" w:rsidRDefault="00F27056">
      <w:pPr>
        <w:spacing w:after="60"/>
        <w:ind w:left="216"/>
        <w:jc w:val="both"/>
      </w:pPr>
      <w:r w:rsidRPr="00F9707C">
        <w:rPr>
          <w:rFonts w:ascii="Times New Roman" w:eastAsia="Times New Roman" w:hAnsi="Times New Roman"/>
        </w:rPr>
        <w:t xml:space="preserve">• </w:t>
      </w:r>
      <w:r w:rsidRPr="00F9707C">
        <w:rPr>
          <w:rFonts w:ascii="Times New Roman" w:eastAsia="Times New Roman" w:hAnsi="Times New Roman"/>
          <w:b/>
        </w:rPr>
        <w:t>Predominan las propuestas arquitectónicas.</w:t>
      </w:r>
      <w:r w:rsidRPr="00F9707C">
        <w:rPr>
          <w:rFonts w:ascii="Times New Roman" w:eastAsia="Times New Roman" w:hAnsi="Times New Roman"/>
        </w:rPr>
        <w:t xml:space="preserve"> 8 de 10 estudios proponen un artefacto arquitectónico (arquitectura de referencia o conceptual, framework o diseño de referencia): #2, #4, #5, #6, #7, #8, #9 y #10; en 6 de ellos (#4, #5, #6, #8, #9 y #10) esto se infiere solo del título. El #1 es un caso de estudio de arquitectura y gobernanza, y el #3 una taxonomía de casos de uso, sin artefacto arquitectónico.</w:t>
      </w:r>
    </w:p>
    <w:p w:rsidR="00286C12" w:rsidRPr="00F9707C" w:rsidRDefault="00F27056">
      <w:pPr>
        <w:spacing w:after="60"/>
        <w:ind w:left="216"/>
        <w:jc w:val="both"/>
      </w:pPr>
      <w:r w:rsidRPr="00F9707C">
        <w:rPr>
          <w:rFonts w:ascii="Times New Roman" w:eastAsia="Times New Roman" w:hAnsi="Times New Roman"/>
        </w:rPr>
        <w:t xml:space="preserve">• </w:t>
      </w:r>
      <w:r w:rsidRPr="00F9707C">
        <w:rPr>
          <w:rFonts w:ascii="Times New Roman" w:eastAsia="Times New Roman" w:hAnsi="Times New Roman"/>
          <w:b/>
        </w:rPr>
        <w:t>La gobernanza y el cumplimiento son explícitos en 6 de 10 estudios.</w:t>
      </w:r>
      <w:r w:rsidRPr="00F9707C">
        <w:rPr>
          <w:rFonts w:ascii="Times New Roman" w:eastAsia="Times New Roman" w:hAnsi="Times New Roman"/>
        </w:rPr>
        <w:t xml:space="preserve"> Aparecen en #1, #2, #3, #5, #6 y #7: gobernanza de agentes (#1, #6), framework con evaluación de cumplimiento (#2), riesgo y gobernanza de datos (#3), cumplimiento normativo (#5) y certificación con procedencia (#7). Los otros cuatro abordan seguridad o mitigación de riesgos técnicos: zero-trust (#4), guardarraíles de entrada (#8), arquitectura de software segura (#10) y sesgo (#9).</w:t>
      </w:r>
    </w:p>
    <w:p w:rsidR="00286C12" w:rsidRPr="00F9707C" w:rsidRDefault="00F27056">
      <w:pPr>
        <w:spacing w:after="60"/>
        <w:ind w:left="216"/>
        <w:jc w:val="both"/>
      </w:pPr>
      <w:r w:rsidRPr="00F9707C">
        <w:rPr>
          <w:rFonts w:ascii="Times New Roman" w:eastAsia="Times New Roman" w:hAnsi="Times New Roman"/>
        </w:rPr>
        <w:t xml:space="preserve">• </w:t>
      </w:r>
      <w:r w:rsidRPr="00F9707C">
        <w:rPr>
          <w:rFonts w:ascii="Times New Roman" w:eastAsia="Times New Roman" w:hAnsi="Times New Roman"/>
          <w:b/>
        </w:rPr>
        <w:t>Evidencia empírica escasa o no verificable.</w:t>
      </w:r>
      <w:r w:rsidRPr="00F9707C">
        <w:rPr>
          <w:rFonts w:ascii="Times New Roman" w:eastAsia="Times New Roman" w:hAnsi="Times New Roman"/>
        </w:rPr>
        <w:t xml:space="preserve"> Solo el #2 reporta una evaluación empírica identificable (análisis multicaso de 4 proyectos empresariales, sin violaciones de cumplimiento y con límites de generalización declarados). El #7 presenta análisis de vulnerabilidades sin evaluación empírica declarada, y en #4, #5, #6, #8, #9 y #10 la validación no puede verificarse porque solo se leyó el título.</w:t>
      </w:r>
    </w:p>
    <w:p w:rsidR="00286C12" w:rsidRPr="00F9707C" w:rsidRDefault="00F27056">
      <w:pPr>
        <w:spacing w:after="60"/>
        <w:ind w:left="216"/>
        <w:jc w:val="both"/>
      </w:pPr>
      <w:r w:rsidRPr="00F9707C">
        <w:rPr>
          <w:rFonts w:ascii="Times New Roman" w:eastAsia="Times New Roman" w:hAnsi="Times New Roman"/>
        </w:rPr>
        <w:t xml:space="preserve">• </w:t>
      </w:r>
      <w:r w:rsidRPr="00F9707C">
        <w:rPr>
          <w:rFonts w:ascii="Times New Roman" w:eastAsia="Times New Roman" w:hAnsi="Times New Roman"/>
          <w:b/>
        </w:rPr>
        <w:t>Contextos de aplicación.</w:t>
      </w:r>
      <w:r w:rsidRPr="00F9707C">
        <w:rPr>
          <w:rFonts w:ascii="Times New Roman" w:eastAsia="Times New Roman" w:hAnsi="Times New Roman"/>
        </w:rPr>
        <w:t xml:space="preserve"> Predominan los entornos empresariales y comerciales; los dominios regulados explícitos en los títulos son salud (#1) y seguros (#5). Solo el #2 trata expresamente el uso de IA agéntica dentro de la ingeniería de software; en #1, #4, #5, #8, #9 y #10 la IA es el sistema que se debe gobernar o proteger, no el apoyo al desarrollo (por título). Ningún título alude a gobierno digital, sector público o seguridad social.</w:t>
      </w:r>
    </w:p>
    <w:p w:rsidR="00286C12" w:rsidRPr="00F9707C" w:rsidRDefault="00F27056">
      <w:pPr>
        <w:spacing w:after="60"/>
        <w:ind w:left="216"/>
        <w:jc w:val="both"/>
      </w:pPr>
      <w:r w:rsidRPr="00F9707C">
        <w:rPr>
          <w:rFonts w:ascii="Times New Roman" w:eastAsia="Times New Roman" w:hAnsi="Times New Roman"/>
        </w:rPr>
        <w:t xml:space="preserve">• </w:t>
      </w:r>
      <w:r w:rsidRPr="00F9707C">
        <w:rPr>
          <w:rFonts w:ascii="Times New Roman" w:eastAsia="Times New Roman" w:hAnsi="Times New Roman"/>
          <w:b/>
        </w:rPr>
        <w:t>Madurez del campo.</w:t>
      </w:r>
      <w:r w:rsidRPr="00F9707C">
        <w:rPr>
          <w:rFonts w:ascii="Times New Roman" w:eastAsia="Times New Roman" w:hAnsi="Times New Roman"/>
        </w:rPr>
        <w:t xml:space="preserve"> 9 de los 10 estudios son de 2026 y uno de 2024 (#10); hay 8 conferencias y 2 artículos de revista (#2 y #3); las citas en Scopus van de 0 a 4 (sin dato para #5). Es un campo emergente y todavía poco consolidado.</w:t>
      </w:r>
    </w:p>
    <w:p w:rsidR="00605B34" w:rsidRPr="00F9707C" w:rsidRDefault="00605B34" w:rsidP="00605B34">
      <w:pPr>
        <w:spacing w:after="60"/>
        <w:jc w:val="both"/>
      </w:pP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lastRenderedPageBreak/>
        <w:t>Limitaciones de esta revisión</w:t>
      </w:r>
    </w:p>
    <w:p w:rsidR="00286C12" w:rsidRPr="00F9707C" w:rsidRDefault="00F27056">
      <w:pPr>
        <w:spacing w:after="120"/>
        <w:jc w:val="both"/>
        <w:rPr>
          <w:rFonts w:ascii="Times New Roman" w:eastAsia="Times New Roman" w:hAnsi="Times New Roman"/>
        </w:rPr>
      </w:pPr>
      <w:r w:rsidRPr="00F9707C">
        <w:rPr>
          <w:rFonts w:ascii="Times New Roman" w:eastAsia="Times New Roman" w:hAnsi="Times New Roman"/>
        </w:rPr>
        <w:t>(i) Cobertura de bases: solo Scopus y Semantic Scholar; ALICIA–CONCYTEC y RENATI–SUNEDU devolvieron 0 registros. (ii) El cribado de los 23 registros se hizo solo con título y metadatos (la exportación no incluye resúmenes) y por un único revisor; los 4 registros en reserva (Tabla 1, #4, #6, #12 y #19), entre ellos Elsisi et al. (2026) y Bandeira et al. (2026), cercanos al ciclo de vida del software, podrían modificar la síntesis. (iii) Para 7 de los 10 estudios incluidos la lectura se limitó a título y metadatos, por lo que su aporte y su validación empírica son inferidos y la síntesis es provisional. (</w:t>
      </w:r>
      <w:proofErr w:type="spellStart"/>
      <w:r w:rsidR="00CC5FA3" w:rsidRPr="00F9707C">
        <w:rPr>
          <w:rFonts w:ascii="Times New Roman" w:eastAsia="Times New Roman" w:hAnsi="Times New Roman"/>
        </w:rPr>
        <w:t>i</w:t>
      </w:r>
      <w:r w:rsidRPr="00F9707C">
        <w:rPr>
          <w:rFonts w:ascii="Times New Roman" w:eastAsia="Times New Roman" w:hAnsi="Times New Roman"/>
        </w:rPr>
        <w:t>v</w:t>
      </w:r>
      <w:proofErr w:type="spellEnd"/>
      <w:r w:rsidRPr="00F9707C">
        <w:rPr>
          <w:rFonts w:ascii="Times New Roman" w:eastAsia="Times New Roman" w:hAnsi="Times New Roman"/>
        </w:rPr>
        <w:t>) Se excluyó la literatura gris, las tesis y los capítulos sin revisión por pares (CE5) y se limitó el idioma a inglés y español (CE4), por lo que quedan fuera estándares y guías de gobernanza de IA (p. ej., ISO/IEC 42001, NIST AI RMF). (v) La búsqueda se ejecutó entre setiembre y octubre de 2026</w:t>
      </w:r>
      <w:r w:rsidR="00CC5FA3" w:rsidRPr="00F9707C">
        <w:rPr>
          <w:rFonts w:ascii="Times New Roman" w:eastAsia="Times New Roman" w:hAnsi="Times New Roman"/>
        </w:rPr>
        <w:t>.</w:t>
      </w:r>
    </w:p>
    <w:p w:rsidR="00605B34" w:rsidRPr="00F9707C" w:rsidRDefault="00605B34">
      <w:pPr>
        <w:spacing w:after="120"/>
        <w:jc w:val="both"/>
      </w:pP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Enlaces de acceso a los estudios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  <w:lang w:val="en-US"/>
        </w:rPr>
        <w:t xml:space="preserve">• #1 Do Val Lopes et al. </w:t>
      </w:r>
      <w:r w:rsidRPr="00F9707C">
        <w:rPr>
          <w:rFonts w:ascii="Times New Roman" w:eastAsia="Times New Roman" w:hAnsi="Times New Roman"/>
          <w:sz w:val="20"/>
        </w:rPr>
        <w:t>(2026) – Acceso directo: no verificado; Scopus: https://www.scopus.com/pages/publications/105052340880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#2 Alenezi et al. (2026) – Acceso directo: https://ijtech.eng.ui.ac.id/article/view/8380; Scopus: https://www.scopus.com/pages/publications/105046214271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#3 Stein (2026) – Acceso directo: https://www.sciencedirect.com/science/article/pii/S187775032600044X; Scopus: https://www.scopus.com/pages/publications/105034631140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#4 Kushnerov et al. (2026) – Acceso directo: no verificado; Scopus: https://www.scopus.com/pages/publications/105042030100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#5 Siddhu et al. (2026) – Acceso directo: no verificado; Scopus: https://www.scopus.com/pages/publications/105042158521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#6 Karuppuchamy (2026) – Acceso directo: https://ieeexplore.ieee.org/document/11475963; Scopus: https://www.scopus.com/pages/publications/105037800300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#7 Enyedi (2026) – Acceso directo: https://arxiv.org/abs/2603.02512; Scopus: https://www.scopus.com/pages/publications/105045435826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#8 Moraes et al. (2026) – Acceso directo: no verificado; Scopus: https://www.scopus.com/pages/publications/105044791237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#9 Zeydan y Aydeger (2026) – Acceso directo: no verificado; Scopus: https://www.scopus.com/pages/publications/105034149112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#10 Joshi (2024) – Acceso directo: no verificado; Scopus: https://www.scopus.com/pages/publications/105005829833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Reserva (Tabla 1, #4) Bandeira et al. (2026) – Acceso directo: https://doi.org/10.1145/3774748.3795680; Scopus: https://www.scopus.com/pages/publications/105051355847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• Reserva (Tabla 1, #6) Elsisi et al. (2026) – Acceso directo: https://doi.org/10.1145/3803437.3805617; Scopus: https://www.scopus.com/pages/publications/105045840085</w:t>
      </w:r>
    </w:p>
    <w:p w:rsidR="00286C12" w:rsidRPr="00F9707C" w:rsidRDefault="00F27056">
      <w:pPr>
        <w:spacing w:after="40"/>
        <w:ind w:left="216"/>
      </w:pPr>
      <w:r w:rsidRPr="00F9707C">
        <w:rPr>
          <w:rFonts w:ascii="Times New Roman" w:eastAsia="Times New Roman" w:hAnsi="Times New Roman"/>
          <w:sz w:val="20"/>
        </w:rPr>
        <w:t>Nota. La numeración sigue la Tabla 2; los registros en reserva citados en el texto se identifican por su número en la Tabla 1. Los enlaces de Scopus provienen de la exportación de la búsqueda y requieren acceso institucional. “No verificado” indica que aún no se confirmó la página del editor o el DOI. Los enlaces IEEE Xplore registrados antes (/document/11537001, /document/11541931, /document/11503623 y /document/11577868) no se asignan a ningún estudio hasta verificarlos.</w:t>
      </w:r>
    </w:p>
    <w:p w:rsidR="00C01733" w:rsidRPr="00F9707C" w:rsidRDefault="00C01733" w:rsidP="00C01733">
      <w:pPr>
        <w:pStyle w:val="Ttulo1"/>
        <w:pageBreakBefore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Diagrama de flujo PRISMA 2020 (PRISMA 2020 Flow Diagram)</w:t>
      </w:r>
    </w:p>
    <w:p w:rsidR="00286C12" w:rsidRPr="00F9707C" w:rsidRDefault="00F27056">
      <w:pPr>
        <w:spacing w:after="120"/>
        <w:jc w:val="both"/>
      </w:pPr>
      <w:r>
        <w:rPr>
          <w:rFonts w:ascii="Times New Roman" w:eastAsia="Times New Roman" w:hAnsi="Times New Roman"/>
          <w:lang w:val="en-US"/>
        </w:rPr>
        <w:t>Diagrama elaborado con la plantilla oficial PRISMA 2020 para nuevas revisiones sistemáticas que incluyeron búsquedas en bases de datos y registros (Page et al., 2021), traducida al español. Sus fases (identificación; cribado, que incluye los informes buscados y evaluados para elegibilidad; e inclusión) tienen valores no vacíos y consistentes entre sí.</w:t>
      </w:r>
    </w:p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3C54CB" wp14:editId="148DB3B6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Identificación de estudios mediante bases de datos y registros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C54C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" fillcolor="#ffc000 [3207]" strokecolor="#7f5f00 [1607]" strokeweight="1pt">
                <v:textbox>
                  <w:txbxContent>
                    <w:p w:rsidR="00755F4E" w:rsidRPr="00755F4E" w:rsidRDefault="00755F4E" w:rsidP="00755F4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755F4E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Identificación de estudios mediante bases de datos y registros</w:t>
                      </w:r>
                    </w:p>
                  </w:txbxContent>
                </v:textbox>
              </v:shape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33F6EE" wp14:editId="3394C993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eliminados antes del cribado: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Duplicados (n = 0)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Marcados como no elegibles por automatización (n = 0)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Eliminados por otras razones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3F6EE" id="Rectangle 2" o:spid="_x0000_s1027" style="position:absolute;margin-left:239.35pt;margin-top:6.05pt;width:148.6pt;height:9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eliminados antes del cribado: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Duplicados (n = 0)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Marcados como no elegibles por automatización (n = 0)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Eliminados por otras razones (n = 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5E052" wp14:editId="727B9469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Registros identificados desde: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Scopus (n = 21)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Semantic Scholar (n = 2)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ALICIA–CONCYTEC (n = 0)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RENATI–SUNEDU (n = 0)</w:t>
                            </w:r>
                          </w:p>
                          <w:p w:rsidR="00755F4E" w:rsidRPr="00560609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Total (n = 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5E052" id="Rectangle 1" o:spid="_x0000_s1028" style="position:absolute;margin-left:44.05pt;margin-top:6.05pt;width:148.6pt;height:9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Registros identificados desde: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Scopus (n = 21)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Semantic Scholar (n = 2)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ALICIA–CONCYTEC (n = 0)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RENATI–SUNEDU (n = 0)</w:t>
                      </w:r>
                    </w:p>
                    <w:p w:rsidR="00755F4E" w:rsidRPr="00560609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Total (n = 23)</w:t>
                      </w:r>
                    </w:p>
                  </w:txbxContent>
                </v:textbox>
              </v:rect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F96C45" wp14:editId="40BB4ABD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1502CF" w:rsidRDefault="00755F4E" w:rsidP="00755F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Identificación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96C45" id="Flowchart: Alternate Process 31" o:spid="_x0000_s1029" type="#_x0000_t176" style="position:absolute;margin-left:-31.8pt;margin-top:17.5pt;width:100.55pt;height:20.7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Y0A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" fillcolor="#9cc2e5 [1944]" strokecolor="black [3213]" strokeweight="1pt">
                <v:textbox>
                  <w:txbxContent>
                    <w:p w:rsidR="00755F4E" w:rsidRPr="001502CF" w:rsidRDefault="00755F4E" w:rsidP="00755F4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Identificación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F0CEC" wp14:editId="640FB8E3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9CC8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34BFBF" wp14:editId="64ACCFB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E7873" id="Straight Arrow Connector 27" o:spid="_x0000_s1026" type="#_x0000_t32" style="position:absolute;margin-left:110.25pt;margin-top:10.15pt;width:0;height:2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A086DE" wp14:editId="1F62F16E">
                <wp:simplePos x="0" y="0"/>
                <wp:positionH relativeFrom="column">
                  <wp:posOffset>558800</wp:posOffset>
                </wp:positionH>
                <wp:positionV relativeFrom="paragraph">
                  <wp:posOffset>76200</wp:posOffset>
                </wp:positionV>
                <wp:extent cx="1887220" cy="609600"/>
                <wp:effectExtent l="0" t="0" r="17780" b="1905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cribados</w:t>
                            </w:r>
                          </w:p>
                          <w:p w:rsidR="00755F4E" w:rsidRPr="00560609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(título/metadatos) (n = 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086DE" id="Rectangle 3" o:spid="_x0000_s1030" style="position:absolute;margin-left:44pt;margin-top:6pt;width:148.6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cribados</w:t>
                      </w:r>
                    </w:p>
                    <w:p w:rsidR="00755F4E" w:rsidRPr="00560609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(título/metadatos) (n = 23)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D4D4DD" wp14:editId="4CF6FC33">
                <wp:simplePos x="0" y="0"/>
                <wp:positionH relativeFrom="column">
                  <wp:posOffset>3048000</wp:posOffset>
                </wp:positionH>
                <wp:positionV relativeFrom="paragraph">
                  <wp:posOffset>76200</wp:posOffset>
                </wp:positionV>
                <wp:extent cx="1887220" cy="635000"/>
                <wp:effectExtent l="0" t="0" r="17780" b="12700"/>
                <wp:wrapNone/>
                <wp:docPr id="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35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excluidos (n = 13)</w:t>
                            </w:r>
                          </w:p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Excluidos por criterios (n = 9)</w:t>
                            </w:r>
                          </w:p>
                          <w:p w:rsidR="00755F4E" w:rsidRPr="00560609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 reserva, pendientes de verificar el resumen (n =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D4DD" id="Rectangle 4" o:spid="_x0000_s1031" style="position:absolute;margin-left:240pt;margin-top:6pt;width:148.6pt;height:5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excluidos (n = 13)</w:t>
                      </w:r>
                    </w:p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Excluidos por criterios (n = 9)</w:t>
                      </w:r>
                    </w:p>
                    <w:p w:rsidR="00755F4E" w:rsidRPr="00560609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 reserva, pendientes de verificar el resumen (n = 4)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A96457" wp14:editId="017B34AD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10A7C" id="Straight Arrow Connector 15" o:spid="_x0000_s1026" type="#_x0000_t32" style="position:absolute;margin-left:193.2pt;margin-top:25.85pt;width:44.3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36092B" wp14:editId="460A8BE4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4B183" id="Straight Arrow Connector 35" o:spid="_x0000_s1026" type="#_x0000_t32" style="position:absolute;margin-left:110.25pt;margin-top:7.85pt;width:0;height:22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5786E" wp14:editId="7009DC30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buscados para</w:t>
                            </w:r>
                          </w:p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recuperación (n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A5786E" id="Rectangle 5" o:spid="_x0000_s1032" style="position:absolute;margin-left:44.15pt;margin-top:3.75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EmCnQIAAJY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buscados para</w:t>
                      </w:r>
                    </w:p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recuperación (n = 10)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512189" wp14:editId="54806799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8EB46" id="Straight Arrow Connector 16" o:spid="_x0000_s1026" type="#_x0000_t32" style="position:absolute;margin-left:193.95pt;margin-top:25.25pt;width:44.3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1348D3" wp14:editId="47DDA43D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560609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no recuperados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348D3" id="Rectangle 6" o:spid="_x0000_s1033" style="position:absolute;margin-left:240.1pt;margin-top:5.25pt;width:148.6pt;height:41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hvnA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" filled="f" strokecolor="black [3213]" strokeweight="1pt">
                <v:textbox>
                  <w:txbxContent>
                    <w:p w:rsidR="00755F4E" w:rsidRPr="00560609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no recuperados (n = 0)</w:t>
                      </w:r>
                    </w:p>
                  </w:txbxContent>
                </v:textbox>
              </v:rect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F28CFB" wp14:editId="20174457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Default="00755F4E" w:rsidP="00755F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Cribado</w:t>
                            </w:r>
                          </w:p>
                          <w:p w:rsidR="00755F4E" w:rsidRPr="001502CF" w:rsidRDefault="00755F4E" w:rsidP="00755F4E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8CFB" id="Flowchart: Alternate Process 32" o:spid="_x0000_s1034" type="#_x0000_t176" style="position:absolute;margin-left:-91.4pt;margin-top:11.05pt;width:219.5pt;height:20.7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BNzt7XQAgAANg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:rsidR="00755F4E" w:rsidRDefault="00755F4E" w:rsidP="00755F4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Cribado</w:t>
                      </w:r>
                    </w:p>
                    <w:p w:rsidR="00755F4E" w:rsidRPr="001502CF" w:rsidRDefault="00755F4E" w:rsidP="00755F4E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A57833" wp14:editId="62011803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7E7D5" id="Straight Arrow Connector 36" o:spid="_x0000_s1026" type="#_x0000_t32" style="position:absolute;margin-left:111pt;margin-top:4.45pt;width:0;height:2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0322F9" wp14:editId="16619C47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E31E9" id="Straight Arrow Connector 17" o:spid="_x0000_s1026" type="#_x0000_t32" style="position:absolute;margin-left:195pt;margin-top:23.2pt;width:44.3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B4FFE6" wp14:editId="6FC9E58E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evaluados para</w:t>
                            </w:r>
                          </w:p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elegibilidad (n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4FFE6" id="Rectangle 8" o:spid="_x0000_s1035" style="position:absolute;margin-left:44.25pt;margin-top:1.0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Hyf2f+dAgAAlg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evaluados para</w:t>
                      </w:r>
                    </w:p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elegibilidad (n = 10)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871F9" wp14:editId="3AB91AD3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excluidos (n = 0)</w:t>
                            </w:r>
                          </w:p>
                          <w:p w:rsidR="00755F4E" w:rsidRPr="00755F4E" w:rsidRDefault="00755F4E" w:rsidP="00755F4E">
                            <w:pPr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Razones: no aplica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871F9" id="Rectangle 9" o:spid="_x0000_s1036" style="position:absolute;margin-left:240.75pt;margin-top:.85pt;width:148.6pt;height:8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Cntm25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excluidos (n = 0)</w:t>
                      </w:r>
                    </w:p>
                    <w:p w:rsidR="00755F4E" w:rsidRPr="00755F4E" w:rsidRDefault="00755F4E" w:rsidP="00755F4E">
                      <w:pPr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Razones: no aplica</w:t>
                      </w:r>
                    </w:p>
                  </w:txbxContent>
                </v:textbox>
              </v:rect>
            </w:pict>
          </mc:Fallback>
        </mc:AlternateContent>
      </w:r>
    </w:p>
    <w:p w:rsidR="00755F4E" w:rsidRDefault="00755F4E" w:rsidP="00755F4E"/>
    <w:p w:rsidR="00755F4E" w:rsidRDefault="00755F4E" w:rsidP="00755F4E"/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46E16C" wp14:editId="3C42E518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D4377" id="Straight Arrow Connector 19" o:spid="_x0000_s1026" type="#_x0000_t32" style="position:absolute;margin-left:110.3pt;margin-top:2.35pt;width:0;height:5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:rsidR="00755F4E" w:rsidRDefault="00755F4E" w:rsidP="00755F4E"/>
    <w:p w:rsidR="00755F4E" w:rsidRDefault="00755F4E" w:rsidP="00755F4E"/>
    <w:p w:rsidR="00755F4E" w:rsidRDefault="00755F4E" w:rsidP="00755F4E"/>
    <w:p w:rsidR="00755F4E" w:rsidRDefault="00755F4E" w:rsidP="00755F4E"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5BA308" wp14:editId="6F8A5786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Estudios incluidos</w:t>
                            </w:r>
                          </w:p>
                          <w:p w:rsidR="00755F4E" w:rsidRPr="00755F4E" w:rsidRDefault="00755F4E" w:rsidP="00755F4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755F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 la revisión (n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BA308" id="Rectangle 13" o:spid="_x0000_s1037" style="position:absolute;margin-left:42.55pt;margin-top:8.7pt;width:148.6pt;height:5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" filled="f" strokecolor="black [3213]" strokeweight="1pt">
                <v:textbox>
                  <w:txbxContent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Estudios incluidos</w:t>
                      </w:r>
                    </w:p>
                    <w:p w:rsidR="00755F4E" w:rsidRPr="00755F4E" w:rsidRDefault="00755F4E" w:rsidP="00755F4E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755F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 la revisión (n = 10)</w:t>
                      </w:r>
                    </w:p>
                  </w:txbxContent>
                </v:textbox>
              </v:rect>
            </w:pict>
          </mc:Fallback>
        </mc:AlternateContent>
      </w:r>
    </w:p>
    <w:p w:rsidR="00755F4E" w:rsidRDefault="00755F4E" w:rsidP="00755F4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4CA5FE" wp14:editId="7C88D3EA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5F4E" w:rsidRPr="001502CF" w:rsidRDefault="00755F4E" w:rsidP="00755F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Incluidos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A5FE" id="Flowchart: Alternate Process 33" o:spid="_x0000_s1038" type="#_x0000_t176" style="position:absolute;margin-left:-10.5pt;margin-top:13.45pt;width:60.2pt;height:20.7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cD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i6FLN7o+QIfHjoQF4Axd&#10;tdBFt8T5NbEw66CE/eXv4Rcaq8K6P2HUaPvjNX3whxEEK0Z72B0Vdt+3xDKMxCcFw3mZT6dh2URh&#10;enZegGCPLZtji9rKpYYuzGN18Rj8vRiO3Gr5CGtuEbKCiSgKuStMvR2EpU87DRYlZYtFdIMFY4i/&#10;VQ+GBvBAdBiIr90jsaYfJQ8zeKeHPUPKF8OTfEOk0out17yNkxWoTrz2TwDLKbZxv0jD9juWo9fz&#10;up//BA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DNq2cD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:rsidR="00755F4E" w:rsidRPr="001502CF" w:rsidRDefault="00755F4E" w:rsidP="00755F4E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Incluidos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755F4E" w:rsidRDefault="00755F4E" w:rsidP="00755F4E"/>
    <w:p w:rsidR="00755F4E" w:rsidRDefault="00755F4E" w:rsidP="00755F4E"/>
    <w:p w:rsidR="00755F4E" w:rsidRDefault="00755F4E" w:rsidP="00755F4E"/>
    <w:p w:rsidR="00755F4E" w:rsidRDefault="00755F4E" w:rsidP="00755F4E"/>
    <w:p w:rsidR="00F27056" w:rsidRPr="00F9707C" w:rsidRDefault="00F27056" w:rsidP="00F27056">
      <w:pPr>
        <w:spacing w:before="160" w:after="160"/>
        <w:jc w:val="center"/>
      </w:pPr>
      <w:bookmarkStart w:id="0" w:name="_GoBack"/>
      <w:bookmarkEnd w:id="0"/>
      <w:r w:rsidRPr="00F9707C">
        <w:rPr>
          <w:rFonts w:ascii="Times New Roman" w:eastAsia="Times New Roman" w:hAnsi="Times New Roman"/>
          <w:i/>
          <w:sz w:val="19"/>
        </w:rPr>
        <w:t xml:space="preserve">Figura 1. Diagrama de flujo PRISMA 2020 de la mini revisión sistemática. Fuente: elaboración propia, adaptado de Page et al. </w:t>
      </w:r>
    </w:p>
    <w:p w:rsidR="00286C12" w:rsidRPr="00F9707C" w:rsidRDefault="00286C12">
      <w:pPr>
        <w:spacing w:after="120"/>
        <w:jc w:val="both"/>
      </w:pPr>
    </w:p>
    <w:p w:rsidR="00C01733" w:rsidRPr="00F9707C" w:rsidRDefault="00C01733" w:rsidP="00C01733">
      <w:pPr>
        <w:pStyle w:val="Ttulo1"/>
        <w:pageBreakBefore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Tabla de análisis de brechas (Gap Analysis Table)</w:t>
      </w:r>
    </w:p>
    <w:p w:rsidR="00C01733" w:rsidRPr="00F9707C" w:rsidRDefault="00C01733" w:rsidP="00C01733">
      <w:pPr>
        <w:pStyle w:val="Ttulo1"/>
        <w:spacing w:before="400" w:after="20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t>Al menos un gap candidato por tipo (conocimiento · metodológico · contextual · teórico), con una cita como evidencia.</w:t>
      </w:r>
    </w:p>
    <w:p w:rsidR="00286C12" w:rsidRPr="00F9707C" w:rsidRDefault="00F27056">
      <w:pPr>
        <w:spacing w:after="120"/>
        <w:jc w:val="both"/>
      </w:pPr>
      <w:r w:rsidRPr="00F9707C">
        <w:rPr>
          <w:rFonts w:ascii="Times New Roman" w:eastAsia="Times New Roman" w:hAnsi="Times New Roman"/>
          <w:sz w:val="21"/>
        </w:rPr>
        <w:t>Se identificó al menos un gap candidato por tipo.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224"/>
        <w:gridCol w:w="2232"/>
        <w:gridCol w:w="3096"/>
        <w:gridCol w:w="2664"/>
      </w:tblGrid>
      <w:tr w:rsidR="00F27056" w:rsidRPr="00F9707C">
        <w:trPr>
          <w:tblHeader/>
          <w:jc w:val="center"/>
        </w:trPr>
        <w:tc>
          <w:tcPr>
            <w:tcW w:w="1224" w:type="dxa"/>
            <w:shd w:val="clear" w:color="auto" w:fill="1F3864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Tipo de gap</w:t>
            </w:r>
          </w:p>
        </w:tc>
        <w:tc>
          <w:tcPr>
            <w:tcW w:w="2232" w:type="dxa"/>
            <w:shd w:val="clear" w:color="auto" w:fill="1F3864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Gap candidato</w:t>
            </w:r>
          </w:p>
        </w:tc>
        <w:tc>
          <w:tcPr>
            <w:tcW w:w="3096" w:type="dxa"/>
            <w:shd w:val="clear" w:color="auto" w:fill="1F3864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Evidencia (cita)</w:t>
            </w:r>
          </w:p>
        </w:tc>
        <w:tc>
          <w:tcPr>
            <w:tcW w:w="2664" w:type="dxa"/>
            <w:shd w:val="clear" w:color="auto" w:fill="1F3864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b/>
                <w:color w:val="FFFFFF"/>
                <w:sz w:val="17"/>
              </w:rPr>
              <w:t>Oportunidad de investigación</w:t>
            </w:r>
          </w:p>
        </w:tc>
      </w:tr>
      <w:tr w:rsidR="00F27056" w:rsidRPr="00F9707C">
        <w:trPr>
          <w:cantSplit/>
          <w:jc w:val="center"/>
        </w:trPr>
        <w:tc>
          <w:tcPr>
            <w:tcW w:w="122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Conocimiento (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knowledge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Falta evidencia sobre si el uso de IA agéntica en el SDLC se mantiene conforme a normas y arquitecturas formales en contextos distintos de proyectos empresariales privados.</w:t>
            </w:r>
          </w:p>
        </w:tc>
        <w:tc>
          <w:tcPr>
            <w:tcW w:w="3096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Alenezi et al. (2026): reporta que “no compliance breaches were observed” en 4 proyectos empresariales, pero advierte que los hallazgos son “context-specific and derived from a limited number of enterprise projects”.</w:t>
            </w:r>
          </w:p>
        </w:tc>
        <w:tc>
          <w:tcPr>
            <w:tcW w:w="266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Estudiar el cumplimiento de IA en el desarrollo bajo un marco arquitectónico obligatorio, en una entidad pública con múltiples fábricas de software.</w:t>
            </w:r>
          </w:p>
        </w:tc>
      </w:tr>
      <w:tr w:rsidR="00F27056" w:rsidRPr="00F9707C">
        <w:trPr>
          <w:cantSplit/>
          <w:jc w:val="center"/>
        </w:trPr>
        <w:tc>
          <w:tcPr>
            <w:tcW w:w="122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Metodológico (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methodological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Predominan propuestas de arquitectura con validación empírica débil o no declarada; las pocas evaluaciones usan pocos casos y diseños cuasi-experimentales.</w:t>
            </w:r>
          </w:p>
        </w:tc>
        <w:tc>
          <w:tcPr>
            <w:tcW w:w="3096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Alenezi et al. (2026): resultados “indicative rather than broadly generalizable”, con necesidad de validación cuasi-experimental más sólida. Enyedi (2026): el resumen presenta un diseño de referencia y análisis de vulnerabilidades, sin evaluación empírica declarada. Elsisi et al. (2026), Siddhu et al. (2026) y Karuppuchamy (2026) se titulan “reference architecture” (por confirmar).</w:t>
            </w:r>
          </w:p>
        </w:tc>
        <w:tc>
          <w:tcPr>
            <w:tcW w:w="266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 xml:space="preserve">Diseño con enfoque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Design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Science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Research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: construir un artefacto de gobernanza y evaluarlo en ciclos, con métricas de cumplimiento (p. ej., puntaje de conformidad) y comparación antes/después o con grupo de control.</w:t>
            </w:r>
          </w:p>
        </w:tc>
      </w:tr>
      <w:tr w:rsidR="00F27056" w:rsidRPr="00F9707C">
        <w:trPr>
          <w:cantSplit/>
          <w:jc w:val="center"/>
        </w:trPr>
        <w:tc>
          <w:tcPr>
            <w:tcW w:w="122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Contextual (contextual)</w:t>
            </w:r>
          </w:p>
        </w:tc>
        <w:tc>
          <w:tcPr>
            <w:tcW w:w="2232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El corpus se concentra en entornos empresariales y comerciales; no aparece el sector público ni los sistemas de seguridad social con convivencia de sistemas legados y obligaciones de interoperabilidad estatal.</w:t>
            </w:r>
          </w:p>
        </w:tc>
        <w:tc>
          <w:tcPr>
            <w:tcW w:w="3096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Alenezi et al. (2026): proyectos empresariales. Siddhu et al. (2026): seguros de vida, y Do Val Lopes et al. (2026): salud, únicos dominios regulados explícitos. Stein (2026): contextos de negocio. Ninguno de los 10 títulos menciona gobierno digital, sector público ni seguridad social.</w:t>
            </w:r>
          </w:p>
        </w:tc>
        <w:tc>
          <w:tcPr>
            <w:tcW w:w="266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Caso SIIP–ONP: IA en el desarrollo bajo la Arquitectura de Referencia, con ECA, coexistencia con legados y normativa peruana de gobierno digital. Verificar el gap con los 13 registros no incluidos (4 en reserva y 9 excluidos) y bases adicionales.</w:t>
            </w:r>
          </w:p>
        </w:tc>
      </w:tr>
      <w:tr w:rsidR="00F27056" w:rsidRPr="00F9707C">
        <w:trPr>
          <w:cantSplit/>
          <w:jc w:val="center"/>
        </w:trPr>
        <w:tc>
          <w:tcPr>
            <w:tcW w:w="122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Teórico (</w:t>
            </w:r>
            <w:proofErr w:type="spellStart"/>
            <w:r w:rsidRPr="00F9707C">
              <w:rPr>
                <w:rFonts w:ascii="Times New Roman" w:eastAsia="Times New Roman" w:hAnsi="Times New Roman"/>
                <w:sz w:val="17"/>
              </w:rPr>
              <w:t>theoretical</w:t>
            </w:r>
            <w:proofErr w:type="spellEnd"/>
            <w:r w:rsidRPr="00F9707C"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Hay taxonomías de autonomía/riesgo y propuestas de gobernanza, pero no una teoría que vincule los niveles de autonomía de la IA con criterios de conformidad de una arquitectura de referencia (TOGAF/ArchiMate).</w:t>
            </w:r>
          </w:p>
        </w:tc>
        <w:tc>
          <w:tcPr>
            <w:tcW w:w="3096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Stein (2026): taxonomía A–D y distinción de la capa D como “a fundamental phase change in system autonomy”; su resumen no la relaciona con marcos de arquitectura empresarial. Karuppuchamy (2026) y Kushnerov et al. (2026) proponen arquitecturas gobernadas/zero-trust (por título), sin mapeo declarado a la conformidad arquitectónica.</w:t>
            </w:r>
          </w:p>
        </w:tc>
        <w:tc>
          <w:tcPr>
            <w:tcW w:w="2664" w:type="dxa"/>
          </w:tcPr>
          <w:p w:rsidR="00F27056" w:rsidRPr="00F9707C" w:rsidRDefault="00F27056">
            <w:pPr>
              <w:spacing w:after="40"/>
            </w:pPr>
            <w:r w:rsidRPr="00F9707C">
              <w:rPr>
                <w:rFonts w:ascii="Times New Roman" w:eastAsia="Times New Roman" w:hAnsi="Times New Roman"/>
                <w:sz w:val="17"/>
              </w:rPr>
              <w:t>Marco teórico que asocie cada nivel de autonomía (A–D) con controles, artefactos y hitos de gobierno arquitectónico (p. ej., dimensiones D1–D5 del ECA), y lo someta a validación.</w:t>
            </w:r>
          </w:p>
        </w:tc>
      </w:tr>
    </w:tbl>
    <w:p w:rsidR="00286C12" w:rsidRPr="00F9707C" w:rsidRDefault="00286C12">
      <w:pPr>
        <w:spacing w:after="40"/>
      </w:pPr>
    </w:p>
    <w:p w:rsidR="00F27056" w:rsidRPr="00F9707C" w:rsidRDefault="00F27056">
      <w:pPr>
        <w:keepNext/>
        <w:spacing w:before="160" w:after="80"/>
        <w:rPr>
          <w:rFonts w:ascii="Times New Roman" w:eastAsia="Times New Roman" w:hAnsi="Times New Roman"/>
          <w:b/>
          <w:sz w:val="24"/>
        </w:rPr>
      </w:pPr>
    </w:p>
    <w:p w:rsidR="00286C12" w:rsidRPr="00F9707C" w:rsidRDefault="00F27056">
      <w:pPr>
        <w:keepNext/>
        <w:spacing w:before="160" w:after="80"/>
      </w:pPr>
      <w:r w:rsidRPr="00F9707C">
        <w:rPr>
          <w:rFonts w:ascii="Times New Roman" w:eastAsia="Times New Roman" w:hAnsi="Times New Roman"/>
          <w:b/>
          <w:sz w:val="24"/>
        </w:rPr>
        <w:t>Referencias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</w:rPr>
        <w:t xml:space="preserve">Alenezi, M., Akour, M., &amp; Al-Omari, O. (2026). </w:t>
      </w:r>
      <w:r w:rsidRPr="00F9707C">
        <w:rPr>
          <w:rFonts w:ascii="Times New Roman" w:eastAsia="Times New Roman" w:hAnsi="Times New Roman"/>
          <w:sz w:val="20"/>
          <w:lang w:val="en-US"/>
        </w:rPr>
        <w:t>Agentic artificial intelligence in software engineering: Integration points, architectural frameworks, empirical evaluation, and governance. International Journal of Technology, 17(4). https://ijtech.eng.ui.ac.id/article/view/8380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</w:rPr>
        <w:t xml:space="preserve">Bandeira, A. P., De Oliveira, G. L. B., Maia, P. H. M., Aderaldo, C., &amp; Mendonça, N. (2026). </w:t>
      </w:r>
      <w:r w:rsidRPr="00F9707C">
        <w:rPr>
          <w:rFonts w:ascii="Times New Roman" w:eastAsia="Times New Roman" w:hAnsi="Times New Roman"/>
          <w:sz w:val="20"/>
          <w:lang w:val="en-US"/>
        </w:rPr>
        <w:t>LLM-native applications: Toward a new paradigm in software engineering. In Proceedings of the 48th IEEE/ACM International Conference on Software Engineering: Companion Proceedings (ICSE Companion 2026). https://doi.org/10.1145/3774748.3795680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Do Val Lopes, C. L., Pitta, J. M., Belem, F. M., Alves, G., &amp; Martins, F. V. C. (2026). Engineering AI agents for clinical workflows: A case study in architecture, MLOps, and governance. In Proceedings of the IEEE/ACM 5th International Conference on AI Engineering (CAIN 2026). https://www.scopus.com/pages/publications/105052340880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</w:rPr>
        <w:t xml:space="preserve">Elsisi, O., Santos, F. D. A., &amp; Melo, G. (2026). </w:t>
      </w:r>
      <w:r w:rsidRPr="00F9707C">
        <w:rPr>
          <w:rFonts w:ascii="Times New Roman" w:eastAsia="Times New Roman" w:hAnsi="Times New Roman"/>
          <w:sz w:val="20"/>
          <w:lang w:val="en-US"/>
        </w:rPr>
        <w:t>Lifecycle-aware GenAI assistance with MCP via context refinement loops: A reference architecture. In FSE Companion 2026: Proceedings of the 34th ACM International Conference on the Foundations of Software Engineering. https://doi.org/10.1145/3803437.3805617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lastRenderedPageBreak/>
        <w:t>Enyedi, S. (2026). Human-certified module repositories for the AI age. In IEEE International Conference on Automation, Quality and Testing, Robotics (AQTR 2026). https://arxiv.org/abs/2603.02512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Joshi, H. (2024). Secure software architecture for enterprise generative artificial intelligence. In International Scientific and Technical Conference on Computer Sciences and Information Technologies. https://www.scopus.com/pages/publications/105005829833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Karuppuchamy, S. (2026). Governed agentic AI for software platforms: A reference architecture for safe autonomy at scale. In IEEE SoutheastCon 2026. https://ieeexplore.ieee.org/document/11475963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Kushnerov, O., Sokol, V., Akhiiezer, O., … Nadtochyi, M., &amp; Balagura, D. (2026). Zero-trust conceptual architecture for secure integration of large language models and autonomous AI agents. In ICHORA 2026 (8th International Congress on Human-Computer Interaction, Optimization and Robotic Applications). https://www.scopus.com/pages/publications/105042030100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</w:rPr>
        <w:t xml:space="preserve">Moraes, L. M. P., Onofre, E. B., &amp; Aguiar, C. D. (2026). </w:t>
      </w:r>
      <w:r w:rsidRPr="00F9707C">
        <w:rPr>
          <w:rFonts w:ascii="Times New Roman" w:eastAsia="Times New Roman" w:hAnsi="Times New Roman"/>
          <w:sz w:val="20"/>
          <w:lang w:val="en-US"/>
        </w:rPr>
        <w:t>Safeguarding big data question-answering systems with a two-layer input guardrails. In Proceedings of the International Conference on Enterprise Information Systems (ICEIS 2026), Vol. 1. https://www.scopus.com/pages/publications/105044791237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Page, M. J., McKenzie, J. E., Bossuyt, P. M., et al. (2021). The PRISMA 2020 statement: An updated guideline for reporting systematic reviews. BMJ, 372, n71. https://doi.org/10.1136/bmj.n71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Siddhu, H. S., Pappu, K., &amp; Thanvi, Y. S. (2026). Compliance-aware generative AI for life insurance document synthesis: A reference architecture. In 2026 International Conference on Artificial Intelligence Systems and Emerging Technologies (ICAISET 2026). https://www.scopus.com/pages/publications/105042158521</w:t>
      </w:r>
    </w:p>
    <w:p w:rsidR="00286C12" w:rsidRPr="00F9707C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Stein, H. (2026). Toward a taxonomy of generative AI use cases in business contexts: Integrating complexity, risk, and strategy. Journal of Computational Science, 96, 102826. https://www.sciencedirect.com/science/article/pii/S187775032600044X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r w:rsidRPr="00F9707C">
        <w:rPr>
          <w:rFonts w:ascii="Times New Roman" w:eastAsia="Times New Roman" w:hAnsi="Times New Roman"/>
          <w:sz w:val="20"/>
          <w:lang w:val="en-US"/>
        </w:rPr>
        <w:t>Zeydan, E., &amp; Aydeger, A. (2026). Bias-free and auto-evolving generative AI: Design principles, architectures, and reinforcement integration. In Proceedings of the IEEE Consumer Communications and Networking Conference (CCNC 2026). https://www.scopus.com/pages/publications/105034149112</w:t>
      </w:r>
    </w:p>
    <w:sectPr w:rsidR="00286C12" w:rsidRPr="00F27056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7FC7E3E"/>
    <w:multiLevelType w:val="hybridMultilevel"/>
    <w:tmpl w:val="A920C7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4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6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8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2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4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4"/>
  </w:num>
  <w:num w:numId="7">
    <w:abstractNumId w:val="4"/>
  </w:num>
  <w:num w:numId="8">
    <w:abstractNumId w:val="9"/>
  </w:num>
  <w:num w:numId="9">
    <w:abstractNumId w:val="2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 w:numId="14">
    <w:abstractNumId w:val="8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EA"/>
    <w:rsid w:val="00042D16"/>
    <w:rsid w:val="000D20C2"/>
    <w:rsid w:val="000D34AC"/>
    <w:rsid w:val="00115B6C"/>
    <w:rsid w:val="001A30C5"/>
    <w:rsid w:val="00286C12"/>
    <w:rsid w:val="00286DB1"/>
    <w:rsid w:val="002D55DC"/>
    <w:rsid w:val="00304BB5"/>
    <w:rsid w:val="00350EAE"/>
    <w:rsid w:val="00355B63"/>
    <w:rsid w:val="003B5253"/>
    <w:rsid w:val="003F0D4F"/>
    <w:rsid w:val="00483897"/>
    <w:rsid w:val="00543D7F"/>
    <w:rsid w:val="005532DE"/>
    <w:rsid w:val="00592415"/>
    <w:rsid w:val="005F48E8"/>
    <w:rsid w:val="00605B34"/>
    <w:rsid w:val="006653A6"/>
    <w:rsid w:val="00672AE5"/>
    <w:rsid w:val="00694A40"/>
    <w:rsid w:val="006F209D"/>
    <w:rsid w:val="007374CC"/>
    <w:rsid w:val="00755F4E"/>
    <w:rsid w:val="00836795"/>
    <w:rsid w:val="008905A5"/>
    <w:rsid w:val="008C478E"/>
    <w:rsid w:val="008F7E2F"/>
    <w:rsid w:val="00951020"/>
    <w:rsid w:val="009A5A7C"/>
    <w:rsid w:val="00A11781"/>
    <w:rsid w:val="00A11F70"/>
    <w:rsid w:val="00AB3415"/>
    <w:rsid w:val="00B800AD"/>
    <w:rsid w:val="00B81EE3"/>
    <w:rsid w:val="00B9262B"/>
    <w:rsid w:val="00C01733"/>
    <w:rsid w:val="00C933E0"/>
    <w:rsid w:val="00CA7381"/>
    <w:rsid w:val="00CC5FA3"/>
    <w:rsid w:val="00D4578A"/>
    <w:rsid w:val="00DA2D71"/>
    <w:rsid w:val="00DB7200"/>
    <w:rsid w:val="00E476EA"/>
    <w:rsid w:val="00E76105"/>
    <w:rsid w:val="00E81FC5"/>
    <w:rsid w:val="00F27056"/>
    <w:rsid w:val="00F460A8"/>
    <w:rsid w:val="00F5508D"/>
    <w:rsid w:val="00F9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6C5A0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  <w:style w:type="paragraph" w:styleId="Textocomentario">
    <w:name w:val="annotation text"/>
    <w:basedOn w:val="Normal"/>
    <w:link w:val="TextocomentarioCar"/>
    <w:uiPriority w:val="99"/>
    <w:unhideWhenUsed/>
    <w:rsid w:val="00755F4E"/>
    <w:pPr>
      <w:spacing w:after="160"/>
    </w:pPr>
    <w:rPr>
      <w:rFonts w:asciiTheme="minorHAnsi" w:eastAsiaTheme="minorEastAsia" w:hAnsiTheme="minorHAnsi" w:cstheme="minorBidi"/>
      <w:sz w:val="20"/>
      <w:szCs w:val="20"/>
      <w:lang w:val="en-AU"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55F4E"/>
    <w:rPr>
      <w:rFonts w:asciiTheme="minorHAnsi" w:eastAsiaTheme="minorEastAsia" w:hAnsiTheme="minorHAnsi" w:cstheme="minorBidi"/>
      <w:sz w:val="20"/>
      <w:szCs w:val="20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4147</Words>
  <Characters>22812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26906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Felix Mendoza</cp:lastModifiedBy>
  <cp:revision>51</cp:revision>
  <dcterms:created xsi:type="dcterms:W3CDTF">2026-09-25T23:18:00Z</dcterms:created>
  <dcterms:modified xsi:type="dcterms:W3CDTF">2026-10-29T16:47:00Z</dcterms:modified>
</cp:coreProperties>
</file>