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543D7F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 w:rsidRPr="00543D7F"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D7F">
        <w:rPr>
          <w:rFonts w:ascii="Times New Roman" w:hAnsi="Times New Roman" w:cs="Times New Roman"/>
          <w:b/>
          <w:sz w:val="40"/>
        </w:rPr>
        <w:t>UNIVERSIDAD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NACIONAL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MAYOR</w:t>
      </w:r>
      <w:r w:rsidRPr="00543D7F">
        <w:rPr>
          <w:rFonts w:ascii="Times New Roman" w:hAnsi="Times New Roman" w:cs="Times New Roman"/>
          <w:b/>
          <w:spacing w:val="-12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DE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 xml:space="preserve">SAN </w:t>
      </w:r>
      <w:r w:rsidRPr="00543D7F"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1A30C5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 w:rsidRPr="001A30C5">
        <w:rPr>
          <w:rFonts w:ascii="Times New Roman" w:hAnsi="Times New Roman" w:cs="Times New Roman"/>
          <w:color w:val="auto"/>
          <w:lang w:val="en-US"/>
        </w:rPr>
        <w:t>Doctoral</w:t>
      </w:r>
      <w:r w:rsidRPr="001A30C5"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Program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in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Deep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Tech,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543D7F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1A30C5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1A30C5">
        <w:rPr>
          <w:rFonts w:ascii="Times New Roman" w:hAnsi="Times New Roman" w:cs="Times New Roman"/>
          <w:b/>
          <w:sz w:val="40"/>
          <w:lang w:val="en-US"/>
        </w:rPr>
        <w:t>Research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Methods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and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Scientific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Integrity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1A30C5" w:rsidRDefault="00543D7F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1A30C5">
        <w:rPr>
          <w:rFonts w:ascii="Times New Roman" w:hAnsi="Times New Roman" w:cs="Times New Roman"/>
          <w:b/>
          <w:sz w:val="27"/>
          <w:lang w:val="en-US"/>
        </w:rPr>
        <w:t xml:space="preserve">DELIVERABLE No. </w:t>
      </w:r>
      <w:r w:rsidR="001A30C5" w:rsidRPr="001A30C5">
        <w:rPr>
          <w:rFonts w:ascii="Times New Roman" w:hAnsi="Times New Roman" w:cs="Times New Roman"/>
          <w:b/>
          <w:sz w:val="27"/>
          <w:lang w:val="en-US"/>
        </w:rPr>
        <w:t>4</w:t>
      </w:r>
      <w:r w:rsidRPr="001A30C5">
        <w:rPr>
          <w:rFonts w:ascii="Times New Roman" w:hAnsi="Times New Roman" w:cs="Times New Roman"/>
          <w:b/>
          <w:sz w:val="27"/>
          <w:lang w:val="en-US"/>
        </w:rPr>
        <w:t xml:space="preserve">: </w:t>
      </w:r>
      <w:r w:rsidR="001A30C5" w:rsidRPr="001A30C5">
        <w:rPr>
          <w:rFonts w:ascii="Times New Roman" w:hAnsi="Times New Roman" w:cs="Times New Roman"/>
          <w:b/>
          <w:sz w:val="27"/>
          <w:lang w:val="en-US"/>
        </w:rPr>
        <w:t>Systematic Review</w:t>
      </w:r>
    </w:p>
    <w:p w:rsidR="00543D7F" w:rsidRPr="00543D7F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543D7F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1A30C5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1A30C5">
        <w:rPr>
          <w:rFonts w:ascii="Times New Roman" w:hAnsi="Times New Roman" w:cs="Times New Roman"/>
          <w:b/>
          <w:sz w:val="27"/>
          <w:lang w:val="en-US"/>
        </w:rPr>
        <w:t>Course</w:t>
      </w:r>
      <w:r w:rsidRPr="001A30C5"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 w:rsidRPr="001A30C5">
        <w:rPr>
          <w:rFonts w:ascii="Times New Roman" w:hAnsi="Times New Roman" w:cs="Times New Roman"/>
          <w:b/>
          <w:sz w:val="27"/>
          <w:lang w:val="en-US"/>
        </w:rPr>
        <w:t>: Dr.</w:t>
      </w:r>
      <w:r w:rsidRPr="001A30C5"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proofErr w:type="spellStart"/>
      <w:r w:rsidRPr="001A30C5">
        <w:rPr>
          <w:rFonts w:ascii="Times New Roman" w:hAnsi="Times New Roman" w:cs="Times New Roman"/>
          <w:b/>
          <w:sz w:val="27"/>
          <w:lang w:val="en-US"/>
        </w:rPr>
        <w:t>Loveleen</w:t>
      </w:r>
      <w:proofErr w:type="spellEnd"/>
      <w:r w:rsidRPr="001A30C5"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543D7F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543D7F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</w:rPr>
      </w:pPr>
      <w:proofErr w:type="spellStart"/>
      <w:r w:rsidRPr="00543D7F">
        <w:rPr>
          <w:rFonts w:ascii="Times New Roman" w:hAnsi="Times New Roman" w:cs="Times New Roman"/>
          <w:b/>
          <w:spacing w:val="-2"/>
          <w:sz w:val="27"/>
        </w:rPr>
        <w:t>Student</w:t>
      </w:r>
      <w:proofErr w:type="spellEnd"/>
      <w:r>
        <w:rPr>
          <w:rFonts w:ascii="Times New Roman" w:hAnsi="Times New Roman" w:cs="Times New Roman"/>
          <w:b/>
          <w:spacing w:val="-2"/>
          <w:sz w:val="27"/>
        </w:rPr>
        <w:t>:</w:t>
      </w:r>
      <w:r>
        <w:rPr>
          <w:rFonts w:ascii="Times New Roman" w:hAnsi="Times New Roman" w:cs="Times New Roman"/>
          <w:b/>
          <w:sz w:val="27"/>
        </w:rPr>
        <w:t xml:space="preserve"> </w:t>
      </w:r>
      <w:r w:rsidRPr="00543D7F">
        <w:rPr>
          <w:rFonts w:ascii="Times New Roman" w:hAnsi="Times New Roman" w:cs="Times New Roman"/>
          <w:b/>
          <w:sz w:val="27"/>
        </w:rPr>
        <w:t>Félix Richar Mendoza Pumacahua</w:t>
      </w:r>
    </w:p>
    <w:p w:rsidR="00543D7F" w:rsidRPr="001A30C5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1A30C5" w:rsidRDefault="00543D7F" w:rsidP="00543D7F">
      <w:pPr>
        <w:pStyle w:val="Textoindependiente"/>
        <w:jc w:val="center"/>
        <w:rPr>
          <w:b/>
          <w:sz w:val="27"/>
          <w:lang w:val="es-ES"/>
        </w:rPr>
      </w:pPr>
    </w:p>
    <w:p w:rsidR="00543D7F" w:rsidRPr="001A30C5" w:rsidRDefault="00543D7F" w:rsidP="00543D7F">
      <w:pPr>
        <w:pStyle w:val="Textoindependiente"/>
        <w:spacing w:before="270"/>
        <w:jc w:val="center"/>
        <w:rPr>
          <w:b/>
          <w:sz w:val="27"/>
          <w:lang w:val="es-ES"/>
        </w:rPr>
      </w:pPr>
    </w:p>
    <w:p w:rsidR="00543D7F" w:rsidRPr="00543D7F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543D7F">
        <w:rPr>
          <w:rFonts w:ascii="Times New Roman" w:hAnsi="Times New Roman" w:cs="Times New Roman"/>
          <w:color w:val="auto"/>
        </w:rPr>
        <w:t>2026</w:t>
      </w:r>
      <w:r w:rsidRPr="00543D7F">
        <w:rPr>
          <w:rFonts w:ascii="Times New Roman" w:hAnsi="Times New Roman" w:cs="Times New Roman"/>
          <w:color w:val="auto"/>
          <w:spacing w:val="-2"/>
        </w:rPr>
        <w:t xml:space="preserve"> </w:t>
      </w:r>
      <w:r w:rsidRPr="00543D7F">
        <w:rPr>
          <w:rFonts w:ascii="Times New Roman" w:hAnsi="Times New Roman" w:cs="Times New Roman"/>
          <w:color w:val="auto"/>
        </w:rPr>
        <w:t>-</w:t>
      </w:r>
      <w:r w:rsidRPr="00543D7F">
        <w:rPr>
          <w:rFonts w:ascii="Times New Roman" w:hAnsi="Times New Roman" w:cs="Times New Roman"/>
          <w:color w:val="auto"/>
          <w:spacing w:val="-1"/>
        </w:rPr>
        <w:t xml:space="preserve"> </w:t>
      </w:r>
      <w:r w:rsidRPr="00543D7F">
        <w:rPr>
          <w:rFonts w:ascii="Times New Roman" w:hAnsi="Times New Roman" w:cs="Times New Roman"/>
          <w:color w:val="auto"/>
          <w:spacing w:val="-5"/>
        </w:rPr>
        <w:t>II</w:t>
      </w:r>
    </w:p>
    <w:p w:rsidR="00543D7F" w:rsidRDefault="00543D7F">
      <w:pPr>
        <w:spacing w:after="200"/>
        <w:jc w:val="center"/>
      </w:pPr>
    </w:p>
    <w:p w:rsidR="00543D7F" w:rsidRDefault="00543D7F">
      <w:r>
        <w:br w:type="page"/>
      </w: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Mini </w:t>
      </w:r>
      <w:proofErr w:type="spellStart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>Systematic</w:t>
      </w:r>
      <w:proofErr w:type="spellEnd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>Review</w:t>
      </w:r>
      <w:proofErr w:type="spellEnd"/>
    </w:p>
    <w:p w:rsidR="00C01733" w:rsidRDefault="00C01733" w:rsidP="00C01733">
      <w:pPr>
        <w:pStyle w:val="Ttulo1"/>
        <w:spacing w:before="400" w:after="200"/>
        <w:rPr>
          <w:rFonts w:ascii="Times New Roman" w:hAnsi="Times New Roman" w:cs="Times New Roman"/>
          <w:color w:val="auto"/>
          <w:sz w:val="22"/>
          <w:szCs w:val="22"/>
        </w:rPr>
      </w:pPr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10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papers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, identificados mediante tu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search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string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documentado en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Semantic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Scholar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(o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Scopus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/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WoS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si tienes acceso)</w:t>
      </w: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Pregunta y alcance de la revisión</w:t>
      </w:r>
    </w:p>
    <w:p w:rsidR="00286C12" w:rsidRDefault="00F27056">
      <w:pPr>
        <w:spacing w:after="120"/>
        <w:jc w:val="both"/>
      </w:pPr>
      <w:r>
        <w:rPr>
          <w:rFonts w:ascii="Times New Roman" w:eastAsia="Times New Roman" w:hAnsi="Times New Roman"/>
        </w:rPr>
        <w:t xml:space="preserve">Esta mini revisión sistemática explora cómo la literatura reciente (2022–2026) propone </w:t>
      </w:r>
      <w:r>
        <w:rPr>
          <w:rFonts w:ascii="Times New Roman" w:eastAsia="Times New Roman" w:hAnsi="Times New Roman"/>
          <w:b/>
        </w:rPr>
        <w:t>arquitecturas de referencia, arquitectura empresarial y marcos arquitectónicos</w:t>
      </w:r>
      <w:r>
        <w:rPr>
          <w:rFonts w:ascii="Times New Roman" w:eastAsia="Times New Roman" w:hAnsi="Times New Roman"/>
        </w:rPr>
        <w:t xml:space="preserve"> para integrar de forma gobernada la </w:t>
      </w:r>
      <w:r>
        <w:rPr>
          <w:rFonts w:ascii="Times New Roman" w:eastAsia="Times New Roman" w:hAnsi="Times New Roman"/>
          <w:b/>
        </w:rPr>
        <w:t>IA generativa y agéntica</w:t>
      </w:r>
      <w:r>
        <w:rPr>
          <w:rFonts w:ascii="Times New Roman" w:eastAsia="Times New Roman" w:hAnsi="Times New Roman"/>
        </w:rPr>
        <w:t xml:space="preserve"> (LLM, agentes, sistemas multiagente) en el </w:t>
      </w:r>
      <w:r>
        <w:rPr>
          <w:rFonts w:ascii="Times New Roman" w:eastAsia="Times New Roman" w:hAnsi="Times New Roman"/>
          <w:b/>
        </w:rPr>
        <w:t>desarrollo de software</w:t>
      </w:r>
      <w:r>
        <w:rPr>
          <w:rFonts w:ascii="Times New Roman" w:eastAsia="Times New Roman" w:hAnsi="Times New Roman"/>
        </w:rPr>
        <w:t xml:space="preserve">, y con qué mecanismos de </w:t>
      </w:r>
      <w:r>
        <w:rPr>
          <w:rFonts w:ascii="Times New Roman" w:eastAsia="Times New Roman" w:hAnsi="Times New Roman"/>
          <w:b/>
        </w:rPr>
        <w:t>cumplimiento, verificación y gobernanza</w:t>
      </w:r>
      <w:r>
        <w:rPr>
          <w:rFonts w:ascii="Times New Roman" w:eastAsia="Times New Roman" w:hAnsi="Times New Roman"/>
        </w:rPr>
        <w:t xml:space="preserve"> lo hacen. Pregunta guía: ¿qué arquitecturas y mecanismos de gobernanza se han propuesto para asegurar el cumplimiento cuando se usa IA generativa/agéntica en el ciclo de vida de desarrollo de software, y con qué nivel de validación empírica?</w:t>
      </w:r>
    </w:p>
    <w:p w:rsidR="00286C12" w:rsidRDefault="00F27056">
      <w:pPr>
        <w:spacing w:after="120"/>
        <w:jc w:val="both"/>
      </w:pPr>
      <w:r>
        <w:rPr>
          <w:rFonts w:ascii="Times New Roman" w:eastAsia="Times New Roman" w:hAnsi="Times New Roman"/>
        </w:rPr>
        <w:t>La pregunta se alinea con el problema doctoral de gobernar el uso de IA en el desarrollo de soluciones sobre una arquitectura de referencia institucional (caso de aplicación: el SIIP de la ONP, cuya Arquitectura de Referencia exige una Evaluación de Conformidad Arquitectónica antes de iniciar el desarrollo e incluye explícitamente las soluciones de inteligencia artificial en su alcance).</w:t>
      </w: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Estrategia de búsqueda</w:t>
      </w:r>
    </w:p>
    <w:p w:rsidR="00286C12" w:rsidRDefault="00F27056">
      <w:pPr>
        <w:spacing w:after="80"/>
      </w:pPr>
      <w:r>
        <w:rPr>
          <w:rFonts w:ascii="Times New Roman" w:eastAsia="Times New Roman" w:hAnsi="Times New Roman"/>
          <w:b/>
        </w:rPr>
        <w:t>Base de datos:</w:t>
      </w:r>
      <w:r>
        <w:rPr>
          <w:rFonts w:ascii="Times New Roman" w:eastAsia="Times New Roman" w:hAnsi="Times New Roman"/>
        </w:rPr>
        <w:t xml:space="preserve"> Scopus (campos TITLE-ABS-KEY). </w:t>
      </w:r>
      <w:r>
        <w:rPr>
          <w:rFonts w:ascii="Times New Roman" w:eastAsia="Times New Roman" w:hAnsi="Times New Roman"/>
          <w:b/>
        </w:rPr>
        <w:t>Filtro temporal:</w:t>
      </w:r>
      <w:r>
        <w:rPr>
          <w:rFonts w:ascii="Times New Roman" w:eastAsia="Times New Roman" w:hAnsi="Times New Roman"/>
        </w:rPr>
        <w:t xml:space="preserve"> PUBYEAR &gt; 2021. </w:t>
      </w:r>
      <w:r>
        <w:rPr>
          <w:rFonts w:ascii="Times New Roman" w:eastAsia="Times New Roman" w:hAnsi="Times New Roman"/>
          <w:b/>
        </w:rPr>
        <w:t>Resultado:</w:t>
      </w:r>
      <w:r>
        <w:rPr>
          <w:rFonts w:ascii="Times New Roman" w:eastAsia="Times New Roman" w:hAnsi="Times New Roman"/>
        </w:rPr>
        <w:t xml:space="preserve"> 17 documentos. </w:t>
      </w:r>
      <w:r>
        <w:rPr>
          <w:rFonts w:ascii="Times New Roman" w:eastAsia="Times New Roman" w:hAnsi="Times New Roman"/>
          <w:b/>
        </w:rPr>
        <w:t>Fecha de ejecución:</w:t>
      </w:r>
      <w:r>
        <w:rPr>
          <w:rFonts w:ascii="Times New Roman" w:eastAsia="Times New Roman" w:hAnsi="Times New Roman"/>
        </w:rPr>
        <w:t xml:space="preserve"> </w:t>
      </w:r>
      <w:bookmarkStart w:id="0" w:name="_GoBack"/>
      <w:r w:rsidR="00951020">
        <w:rPr>
          <w:rFonts w:ascii="Times New Roman" w:eastAsia="Times New Roman" w:hAnsi="Times New Roman"/>
        </w:rPr>
        <w:t>setiembre de 2026</w:t>
      </w:r>
      <w:bookmarkEnd w:id="0"/>
      <w:r>
        <w:rPr>
          <w:rFonts w:ascii="Times New Roman" w:eastAsia="Times New Roman" w:hAnsi="Times New Roman"/>
        </w:rPr>
        <w:t>.</w:t>
      </w:r>
    </w:p>
    <w:p w:rsidR="00286C12" w:rsidRPr="00F27056" w:rsidRDefault="00F27056">
      <w:pPr>
        <w:spacing w:after="120"/>
        <w:ind w:left="288"/>
        <w:rPr>
          <w:lang w:val="en-US"/>
        </w:rPr>
      </w:pPr>
      <w:r w:rsidRPr="00F27056">
        <w:rPr>
          <w:rFonts w:ascii="Consolas" w:eastAsia="Times New Roman" w:hAnsi="Consolas"/>
          <w:sz w:val="17"/>
          <w:lang w:val="en-US"/>
        </w:rPr>
        <w:t xml:space="preserve">TITLE-ABS-KEY(("generative AI" OR </w:t>
      </w:r>
      <w:proofErr w:type="spellStart"/>
      <w:r w:rsidRPr="00F27056">
        <w:rPr>
          <w:rFonts w:ascii="Consolas" w:eastAsia="Times New Roman" w:hAnsi="Consolas"/>
          <w:sz w:val="17"/>
          <w:lang w:val="en-US"/>
        </w:rPr>
        <w:t>genAI</w:t>
      </w:r>
      <w:proofErr w:type="spellEnd"/>
      <w:r w:rsidRPr="00F27056">
        <w:rPr>
          <w:rFonts w:ascii="Consolas" w:eastAsia="Times New Roman" w:hAnsi="Consolas"/>
          <w:sz w:val="17"/>
          <w:lang w:val="en-US"/>
        </w:rPr>
        <w:t xml:space="preserve"> OR "large language model*" OR LLM* OR "agentic AI" OR "AI agent*" OR "LLM agent*" OR "multi-agent") AND ("reference architecture*" OR "enterprise architecture" OR "architectural framework*" OR TOGAF OR ArchiMate) AND ("software development" OR "software engineering" OR "code generation" OR SDLC) AND (</w:t>
      </w:r>
      <w:proofErr w:type="spellStart"/>
      <w:r w:rsidRPr="00F27056">
        <w:rPr>
          <w:rFonts w:ascii="Consolas" w:eastAsia="Times New Roman" w:hAnsi="Consolas"/>
          <w:sz w:val="17"/>
          <w:lang w:val="en-US"/>
        </w:rPr>
        <w:t>complian</w:t>
      </w:r>
      <w:proofErr w:type="spellEnd"/>
      <w:r w:rsidRPr="00F27056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27056">
        <w:rPr>
          <w:rFonts w:ascii="Consolas" w:eastAsia="Times New Roman" w:hAnsi="Consolas"/>
          <w:sz w:val="17"/>
          <w:lang w:val="en-US"/>
        </w:rPr>
        <w:t>regulat</w:t>
      </w:r>
      <w:proofErr w:type="spellEnd"/>
      <w:r w:rsidRPr="00F27056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27056">
        <w:rPr>
          <w:rFonts w:ascii="Consolas" w:eastAsia="Times New Roman" w:hAnsi="Consolas"/>
          <w:sz w:val="17"/>
          <w:lang w:val="en-US"/>
        </w:rPr>
        <w:t>verif</w:t>
      </w:r>
      <w:proofErr w:type="spellEnd"/>
      <w:r w:rsidRPr="00F27056">
        <w:rPr>
          <w:rFonts w:ascii="Consolas" w:eastAsia="Times New Roman" w:hAnsi="Consolas"/>
          <w:sz w:val="17"/>
          <w:lang w:val="en-US"/>
        </w:rPr>
        <w:t xml:space="preserve">* OR </w:t>
      </w:r>
      <w:proofErr w:type="spellStart"/>
      <w:r w:rsidRPr="00F27056">
        <w:rPr>
          <w:rFonts w:ascii="Consolas" w:eastAsia="Times New Roman" w:hAnsi="Consolas"/>
          <w:sz w:val="17"/>
          <w:lang w:val="en-US"/>
        </w:rPr>
        <w:t>validat</w:t>
      </w:r>
      <w:proofErr w:type="spellEnd"/>
      <w:r w:rsidRPr="00F27056">
        <w:rPr>
          <w:rFonts w:ascii="Consolas" w:eastAsia="Times New Roman" w:hAnsi="Consolas"/>
          <w:sz w:val="17"/>
          <w:lang w:val="en-US"/>
        </w:rPr>
        <w:t>* OR governance)) AND PUBYEAR &gt; 2021</w:t>
      </w:r>
    </w:p>
    <w:p w:rsidR="00286C12" w:rsidRDefault="00F27056">
      <w:pPr>
        <w:spacing w:after="120"/>
        <w:jc w:val="both"/>
      </w:pPr>
      <w:r>
        <w:rPr>
          <w:rFonts w:ascii="Times New Roman" w:eastAsia="Times New Roman" w:hAnsi="Times New Roman"/>
        </w:rPr>
        <w:t>La cadena combina cuatro bloques conceptuales (IA generativa/agéntica · arquitectura de referencia/empresarial · desarrollo de software · cumplimiento/gobernanza) unidos con AND; los sinónimos de cada bloque se unen con OR y se usan comodines para cubrir variantes morfológicas.</w:t>
      </w: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Criterios de elegibilidad y procedimiento de selección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4896"/>
        <w:gridCol w:w="4896"/>
      </w:tblGrid>
      <w:tr w:rsidR="00286C12">
        <w:trPr>
          <w:tblHeader/>
          <w:jc w:val="center"/>
        </w:trPr>
        <w:tc>
          <w:tcPr>
            <w:tcW w:w="4896" w:type="dxa"/>
            <w:shd w:val="clear" w:color="auto" w:fill="1F3864"/>
          </w:tcPr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8"/>
              </w:rPr>
              <w:t>Inclusión</w:t>
            </w:r>
          </w:p>
        </w:tc>
        <w:tc>
          <w:tcPr>
            <w:tcW w:w="4896" w:type="dxa"/>
            <w:shd w:val="clear" w:color="auto" w:fill="1F3864"/>
          </w:tcPr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8"/>
              </w:rPr>
              <w:t>Exclusión</w:t>
            </w:r>
          </w:p>
        </w:tc>
      </w:tr>
      <w:tr w:rsidR="00286C12">
        <w:trPr>
          <w:cantSplit/>
          <w:jc w:val="center"/>
        </w:trPr>
        <w:tc>
          <w:tcPr>
            <w:tcW w:w="4896" w:type="dxa"/>
          </w:tcPr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CI1. Aborda IA generativa, LLM o agentes de IA.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CI2. Propone, evalúa o discute una arquitectura de referencia, arquitectura empresarial, framework o patrones arquitectónicos.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CI3. Se ubica en ingeniería de software / SDLC o en la integración empresarial de estos sistemas.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CI4. Trata cumplimiento, verificación, seguridad o gobernanza.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CI5. Publicado entre 2022 y 2026, revisado por pares (artículo o conferencia).</w:t>
            </w:r>
          </w:p>
        </w:tc>
        <w:tc>
          <w:tcPr>
            <w:tcW w:w="4896" w:type="dxa"/>
          </w:tcPr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CE1. Duplicados.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CE2. Registros sin texto accesible o sin resumen.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CE3. Trabajos que usan la IA solo como herramienta de análisis, sin componente arquitectónico ni de gobernanza.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CE4. Idioma distinto del inglés o español.</w:t>
            </w:r>
          </w:p>
          <w:p w:rsidR="00286C12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8"/>
              </w:rPr>
              <w:t>CE5. Literatura gris, tesis o capítulos sin revisión por pares.</w:t>
            </w:r>
          </w:p>
        </w:tc>
      </w:tr>
    </w:tbl>
    <w:p w:rsidR="00286C12" w:rsidRDefault="00286C12">
      <w:pPr>
        <w:spacing w:after="40"/>
      </w:pPr>
    </w:p>
    <w:p w:rsidR="00286C12" w:rsidRDefault="00F27056">
      <w:pPr>
        <w:spacing w:after="1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</w:rPr>
        <w:t>Procedimiento.</w:t>
      </w:r>
      <w:r>
        <w:rPr>
          <w:rFonts w:ascii="Times New Roman" w:eastAsia="Times New Roman" w:hAnsi="Times New Roman"/>
        </w:rPr>
        <w:t xml:space="preserve"> Scopus devolvió 17 documentos; para esta mini revisión se tomaron los </w:t>
      </w:r>
      <w:r>
        <w:rPr>
          <w:rFonts w:ascii="Times New Roman" w:eastAsia="Times New Roman" w:hAnsi="Times New Roman"/>
          <w:b/>
        </w:rPr>
        <w:t>10 primeros registros del listado en el orden por defecto de Scopus</w:t>
      </w:r>
      <w:r>
        <w:rPr>
          <w:rFonts w:ascii="Times New Roman" w:eastAsia="Times New Roman" w:hAnsi="Times New Roman"/>
        </w:rPr>
        <w:t xml:space="preserve"> (resultados 1–10 de 17), conforme al requisito del entregable de analizar 10 papers. Los 7 registros restantes quedan fuera de la muestra y se reportan como excluidos en el diagrama PRISMA.</w:t>
      </w:r>
    </w:p>
    <w:p w:rsidR="00F27056" w:rsidRDefault="00F27056">
      <w:pPr>
        <w:spacing w:after="120"/>
        <w:jc w:val="both"/>
        <w:rPr>
          <w:rFonts w:ascii="Times New Roman" w:eastAsia="Times New Roman" w:hAnsi="Times New Roman"/>
        </w:rPr>
      </w:pPr>
    </w:p>
    <w:p w:rsidR="00F27056" w:rsidRDefault="00F27056">
      <w:pPr>
        <w:spacing w:after="120"/>
        <w:jc w:val="both"/>
        <w:rPr>
          <w:rFonts w:ascii="Times New Roman" w:eastAsia="Times New Roman" w:hAnsi="Times New Roman"/>
        </w:rPr>
      </w:pPr>
    </w:p>
    <w:p w:rsidR="00F27056" w:rsidRDefault="00F27056">
      <w:pPr>
        <w:spacing w:after="120"/>
        <w:jc w:val="both"/>
        <w:rPr>
          <w:rFonts w:ascii="Times New Roman" w:eastAsia="Times New Roman" w:hAnsi="Times New Roman"/>
        </w:rPr>
      </w:pPr>
    </w:p>
    <w:p w:rsidR="00F27056" w:rsidRDefault="00F27056">
      <w:pPr>
        <w:spacing w:after="120"/>
        <w:jc w:val="both"/>
      </w:pP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lastRenderedPageBreak/>
        <w:t>Estudios incluidos (n = 10)</w:t>
      </w:r>
    </w:p>
    <w:p w:rsidR="00286C12" w:rsidRDefault="00286C12">
      <w:pPr>
        <w:spacing w:after="120"/>
        <w:jc w:val="both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432"/>
        <w:gridCol w:w="4320"/>
        <w:gridCol w:w="4608"/>
      </w:tblGrid>
      <w:tr w:rsidR="00F27056">
        <w:trPr>
          <w:tblHeader/>
          <w:jc w:val="center"/>
        </w:trPr>
        <w:tc>
          <w:tcPr>
            <w:tcW w:w="432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#</w:t>
            </w:r>
          </w:p>
        </w:tc>
        <w:tc>
          <w:tcPr>
            <w:tcW w:w="4320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Referencia</w:t>
            </w:r>
          </w:p>
        </w:tc>
        <w:tc>
          <w:tcPr>
            <w:tcW w:w="4608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Enfoque / aporte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1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Bandeira, De Oliveira, Maia, Aderaldo &amp; Mendonça (2026). </w:t>
            </w:r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LLM-Native Applications: Toward a New Paradigm in Software Engineering. </w:t>
            </w:r>
            <w:r>
              <w:rPr>
                <w:rFonts w:ascii="Times New Roman" w:eastAsia="Times New Roman" w:hAnsi="Times New Roman"/>
                <w:sz w:val="17"/>
              </w:rPr>
              <w:t xml:space="preserve">ICSE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Companion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Paradigma de ingeniería de software para aplicaciones nativas con LLM.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2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Alenezi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Akour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&amp; Al-Omari (2026). Agentic AI in Software Engineering: Integration Points, Architectural Frameworks, Empirical Evaluation, and Governance. </w:t>
            </w:r>
            <w:r>
              <w:rPr>
                <w:rFonts w:ascii="Times New Roman" w:eastAsia="Times New Roman" w:hAnsi="Times New Roman"/>
                <w:sz w:val="17"/>
              </w:rPr>
              <w:t xml:space="preserve">International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Technology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17(4). Artículo.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Framework para integrar IA agéntica en el desarrollo; revisión sistemática + análisis multicaso de 4 proyectos empresariales (pre/post, Wilcoxon). Reduce tiempo de ciclo 40–55 %, MTTR 33–48 % y fallos por cambio 7–11 %, sin violaciones de cumplimiento. Limitación declarada: resultados específicos del contexto y de pocos proyectos.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3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Elsisi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, Santos &amp; Melo (2026). Lifecycle-Aware </w:t>
            </w: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GenAI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Assistance with MCP via Context Refinement Loops: A Reference Architecture. </w:t>
            </w:r>
            <w:r>
              <w:rPr>
                <w:rFonts w:ascii="Times New Roman" w:eastAsia="Times New Roman" w:hAnsi="Times New Roman"/>
                <w:sz w:val="17"/>
              </w:rPr>
              <w:t xml:space="preserve">FSE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Companion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Arquitectura de referencia para asistencia GenAI a lo largo del ciclo de vida, con MCP y bucles de refinamiento de contexto.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4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Stein (2026). Toward a taxonomy of generative AI use cases in business contexts: Integrating complexity, risk, and strategy.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Journal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of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Computational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Science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96, 102826. Artículo.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Taxonomía de cuatro capas de complejidad (A: asistentes con prompts; B: generación de código reproducible; C: generación de texto en producción; D: agentes autónomos con invocación de herramientas) y cinco perspectivas (contexto, valor, estrategia, autonomía técnica, gobernanza de datos). Distingue C de D como un “cambio de fase” en autonomía y riesgo.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5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Kushnerov, Sokol, Akhiiezer, … Nadtochyi &amp; Balagura (2026). </w:t>
            </w:r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Zero-trust Conceptual Architecture for Secure Integration of Large Language Models and Autonomous AI Agents. </w:t>
            </w:r>
            <w:r>
              <w:rPr>
                <w:rFonts w:ascii="Times New Roman" w:eastAsia="Times New Roman" w:hAnsi="Times New Roman"/>
                <w:sz w:val="17"/>
              </w:rPr>
              <w:t>ICHORA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Arquitectura conceptual zero-trust para integrar LLM y agentes autónomos de forma segura.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6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Siddhu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, </w:t>
            </w: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Pappu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&amp; </w:t>
            </w: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Thanvi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Compliance-Aware Generative AI for Life Insurance Document Synthesis: A Reference Architecture. </w:t>
            </w:r>
            <w:r>
              <w:rPr>
                <w:rFonts w:ascii="Times New Roman" w:eastAsia="Times New Roman" w:hAnsi="Times New Roman"/>
                <w:sz w:val="17"/>
              </w:rPr>
              <w:t>ICAISET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Arquitectura de referencia GenAI con conciencia de cumplimiento en un dominio regulado (seguros de vida).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7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Karuppuchamy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Governed Agentic AI for Software Platforms: A Reference Architecture for Safe Autonomy at Scale. </w:t>
            </w:r>
            <w:r>
              <w:rPr>
                <w:rFonts w:ascii="Times New Roman" w:eastAsia="Times New Roman" w:hAnsi="Times New Roman"/>
                <w:sz w:val="17"/>
              </w:rPr>
              <w:t xml:space="preserve">IEEE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SoutheastCon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Arquitectura de referencia para IA agéntica gobernada en plataformas de software (autonomía segura a escala).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8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Moriarty (2026). From Classroom to Enterprise: Architectural Patterns for LLM Integration. </w:t>
            </w:r>
            <w:r>
              <w:rPr>
                <w:rFonts w:ascii="Times New Roman" w:eastAsia="Times New Roman" w:hAnsi="Times New Roman"/>
                <w:sz w:val="17"/>
              </w:rPr>
              <w:t xml:space="preserve">IEEE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SysCon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Patrones arquitectónicos para integrar LLM, del entorno académico al empresarial.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Enyedi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Human-Certified Module Repositories for the AI Age. </w:t>
            </w:r>
            <w:r>
              <w:rPr>
                <w:rFonts w:ascii="Times New Roman" w:eastAsia="Times New Roman" w:hAnsi="Times New Roman"/>
                <w:sz w:val="17"/>
              </w:rPr>
              <w:t>IEEE AQTR 2026. Conferencia. (Resumen leído en el preprint arXiv:2603.02512.)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Repositorios de módulos curados, revisados en seguridad, con procedencia y contratos de interfaz explícitos; combina juicio humano y análisis automático para certificar módulos. Presenta un diseño de referencia, analiza vulnerabilidades y aborda gobernanza y escalabilidad.</w:t>
            </w:r>
          </w:p>
        </w:tc>
      </w:tr>
      <w:tr w:rsidR="00F27056">
        <w:trPr>
          <w:cantSplit/>
          <w:jc w:val="center"/>
        </w:trPr>
        <w:tc>
          <w:tcPr>
            <w:tcW w:w="4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4320" w:type="dxa"/>
          </w:tcPr>
          <w:p w:rsidR="00F27056" w:rsidRDefault="00F27056">
            <w:pPr>
              <w:spacing w:after="40"/>
            </w:pPr>
            <w:proofErr w:type="spellStart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>Pokala</w:t>
            </w:r>
            <w:proofErr w:type="spellEnd"/>
            <w:r w:rsidRPr="00F27056">
              <w:rPr>
                <w:rFonts w:ascii="Times New Roman" w:eastAsia="Times New Roman" w:hAnsi="Times New Roman"/>
                <w:sz w:val="17"/>
                <w:lang w:val="en-US"/>
              </w:rPr>
              <w:t xml:space="preserve"> (2026). Agentic Dashboard Generation from Natural Language on Lakehouse Platforms. </w:t>
            </w:r>
            <w:r>
              <w:rPr>
                <w:rFonts w:ascii="Times New Roman" w:eastAsia="Times New Roman" w:hAnsi="Times New Roman"/>
                <w:sz w:val="17"/>
              </w:rPr>
              <w:t>ICAISET 2026. Conferencia.</w:t>
            </w:r>
          </w:p>
        </w:tc>
        <w:tc>
          <w:tcPr>
            <w:tcW w:w="4608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Generación agéntica de dashboards desde lenguaje natural sobre plataformas lakehouse.</w:t>
            </w:r>
          </w:p>
        </w:tc>
      </w:tr>
    </w:tbl>
    <w:p w:rsidR="00286C12" w:rsidRDefault="00286C12">
      <w:pPr>
        <w:spacing w:after="40"/>
      </w:pP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Síntesis de hallazgos</w:t>
      </w:r>
    </w:p>
    <w:p w:rsidR="00286C12" w:rsidRDefault="00F27056">
      <w:pPr>
        <w:spacing w:after="60"/>
        <w:ind w:left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Predominan las propuestas arquitectónicas.</w:t>
      </w:r>
      <w:r>
        <w:rPr>
          <w:rFonts w:ascii="Times New Roman" w:eastAsia="Times New Roman" w:hAnsi="Times New Roman"/>
        </w:rPr>
        <w:t xml:space="preserve"> 7 de 10 estudios presentan un artefacto arquitectónico (arquitectura de referencia o conceptual, framework o patrones): #2, #3, #5, #6, #7, #8 y #9.</w:t>
      </w:r>
    </w:p>
    <w:p w:rsidR="00286C12" w:rsidRDefault="00F27056">
      <w:pPr>
        <w:spacing w:after="60"/>
        <w:ind w:left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La gobernanza y el cumplimiento son un tema recurrente.</w:t>
      </w:r>
      <w:r>
        <w:rPr>
          <w:rFonts w:ascii="Times New Roman" w:eastAsia="Times New Roman" w:hAnsi="Times New Roman"/>
        </w:rPr>
        <w:t xml:space="preserve"> Aparecen de forma explícita en 6 de 10 estudios (#2, #4, #5, #6, #7 y #9), con enfoques que van desde zero-trust y certificación de módulos hasta taxonomías de riesgo.</w:t>
      </w:r>
    </w:p>
    <w:p w:rsidR="00286C12" w:rsidRDefault="00F27056">
      <w:pPr>
        <w:spacing w:after="60"/>
        <w:ind w:left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Contextos de aplicación.</w:t>
      </w:r>
      <w:r>
        <w:rPr>
          <w:rFonts w:ascii="Times New Roman" w:eastAsia="Times New Roman" w:hAnsi="Times New Roman"/>
        </w:rPr>
        <w:t xml:space="preserve"> Predominan los entornos empresariales y comerciales; el único dominio regulado explícito en los títulos es el de seguros (#6). Ningún título alude a gobierno digital o seguridad social.</w:t>
      </w:r>
    </w:p>
    <w:p w:rsidR="00286C12" w:rsidRDefault="00F27056">
      <w:pPr>
        <w:spacing w:after="60"/>
        <w:ind w:left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Madurez del campo.</w:t>
      </w:r>
      <w:r>
        <w:rPr>
          <w:rFonts w:ascii="Times New Roman" w:eastAsia="Times New Roman" w:hAnsi="Times New Roman"/>
        </w:rPr>
        <w:t xml:space="preserve"> Los 10 estudios son de 2026 (8 conferencias y 2 artículos de revista), lo que indica un campo emergente y todavía poco consolidado.</w:t>
      </w: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lastRenderedPageBreak/>
        <w:t>Limitaciones de esta revisión</w:t>
      </w:r>
    </w:p>
    <w:p w:rsidR="00286C12" w:rsidRDefault="00F27056">
      <w:pPr>
        <w:spacing w:after="120"/>
        <w:jc w:val="both"/>
      </w:pPr>
      <w:r>
        <w:rPr>
          <w:rFonts w:ascii="Times New Roman" w:eastAsia="Times New Roman" w:hAnsi="Times New Roman"/>
        </w:rPr>
        <w:t>(i) Una sola base de datos (Scopus); (ii) muestra de 10 de 17 registros, seleccionada por orden de aparición y no por cribado de relevancia; (iii) para 7 de 10 estudios la lectura se limitó a título y metadatos; (iv) no se aplicó una evaluación formal de calidad metodológica de los estudios. Estos puntos deben mitigarse en la revisión completa ampliando a IEEE Xplore, ACM DL y Web of Science y aplicando doble cribado.</w:t>
      </w: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Enlaces de acceso a los estudios</w:t>
      </w:r>
    </w:p>
    <w:p w:rsidR="00286C12" w:rsidRPr="00F27056" w:rsidRDefault="00F27056">
      <w:pPr>
        <w:spacing w:after="40"/>
        <w:ind w:left="216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>• #1 (ICSE Companion): https://dl.acm.org/doi/10.1145/3774748.3795680</w:t>
      </w:r>
    </w:p>
    <w:p w:rsidR="00286C12" w:rsidRDefault="00F27056">
      <w:pPr>
        <w:spacing w:after="40"/>
        <w:ind w:left="216"/>
      </w:pPr>
      <w:r>
        <w:rPr>
          <w:rFonts w:ascii="Times New Roman" w:eastAsia="Times New Roman" w:hAnsi="Times New Roman"/>
          <w:sz w:val="20"/>
        </w:rPr>
        <w:t>• #2 (</w:t>
      </w:r>
      <w:proofErr w:type="spellStart"/>
      <w:r>
        <w:rPr>
          <w:rFonts w:ascii="Times New Roman" w:eastAsia="Times New Roman" w:hAnsi="Times New Roman"/>
          <w:sz w:val="20"/>
        </w:rPr>
        <w:t>Alenezi</w:t>
      </w:r>
      <w:proofErr w:type="spellEnd"/>
      <w:r>
        <w:rPr>
          <w:rFonts w:ascii="Times New Roman" w:eastAsia="Times New Roman" w:hAnsi="Times New Roman"/>
          <w:sz w:val="20"/>
        </w:rPr>
        <w:t xml:space="preserve"> et al.): https://ijtech.eng.ui.ac.id/article/view/8380</w:t>
      </w:r>
    </w:p>
    <w:p w:rsidR="00286C12" w:rsidRPr="00F27056" w:rsidRDefault="00F27056">
      <w:pPr>
        <w:spacing w:after="40"/>
        <w:ind w:left="216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>• #3 (FSE Companion): https://dl.acm.org/doi/10.1145/3803437.3805617</w:t>
      </w:r>
    </w:p>
    <w:p w:rsidR="00286C12" w:rsidRPr="00F27056" w:rsidRDefault="00F27056">
      <w:pPr>
        <w:spacing w:after="40"/>
        <w:ind w:left="216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>• #4 (Stein): https://www.sciencedirect.com/science/article/pii/S187775032600044X</w:t>
      </w:r>
    </w:p>
    <w:p w:rsidR="00286C12" w:rsidRDefault="00F27056">
      <w:pPr>
        <w:spacing w:after="40"/>
        <w:ind w:left="216"/>
      </w:pPr>
      <w:r>
        <w:rPr>
          <w:rFonts w:ascii="Times New Roman" w:eastAsia="Times New Roman" w:hAnsi="Times New Roman"/>
          <w:sz w:val="20"/>
        </w:rPr>
        <w:t>• #7 (</w:t>
      </w:r>
      <w:proofErr w:type="spellStart"/>
      <w:r>
        <w:rPr>
          <w:rFonts w:ascii="Times New Roman" w:eastAsia="Times New Roman" w:hAnsi="Times New Roman"/>
          <w:sz w:val="20"/>
        </w:rPr>
        <w:t>Karuppuchamy</w:t>
      </w:r>
      <w:proofErr w:type="spellEnd"/>
      <w:r>
        <w:rPr>
          <w:rFonts w:ascii="Times New Roman" w:eastAsia="Times New Roman" w:hAnsi="Times New Roman"/>
          <w:sz w:val="20"/>
        </w:rPr>
        <w:t>): https://ieeexplore.ieee.org/document/11475963</w:t>
      </w:r>
    </w:p>
    <w:p w:rsidR="00286C12" w:rsidRDefault="00F27056">
      <w:pPr>
        <w:spacing w:after="40"/>
        <w:ind w:left="216"/>
      </w:pPr>
      <w:r>
        <w:rPr>
          <w:rFonts w:ascii="Times New Roman" w:eastAsia="Times New Roman" w:hAnsi="Times New Roman"/>
          <w:sz w:val="20"/>
        </w:rPr>
        <w:t>• IEEE Xplore, pendientes de asignar a los estudios #5, #6, #8, #9 y #10 (se registraron 4 enlaces para 5 estudios): /document/11537001, /document/11541931, /document/11503623, /document/11577868. El estudio #9 también está en arXiv:2603.02512.</w:t>
      </w:r>
    </w:p>
    <w:p w:rsidR="00C01733" w:rsidRPr="00C01733" w:rsidRDefault="00C01733" w:rsidP="00C01733">
      <w:pPr>
        <w:pStyle w:val="Ttulo1"/>
        <w:pageBreakBefore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PRISMA 2020 Flow </w:t>
      </w:r>
      <w:proofErr w:type="spellStart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>Diagram</w:t>
      </w:r>
      <w:proofErr w:type="spellEnd"/>
    </w:p>
    <w:p w:rsidR="00286C12" w:rsidRDefault="00F27056">
      <w:pPr>
        <w:spacing w:after="120"/>
        <w:jc w:val="both"/>
      </w:pPr>
      <w:proofErr w:type="spellStart"/>
      <w:r w:rsidRPr="00F27056">
        <w:rPr>
          <w:rFonts w:ascii="Times New Roman" w:eastAsia="Times New Roman" w:hAnsi="Times New Roman"/>
          <w:lang w:val="en-US"/>
        </w:rPr>
        <w:t>Diagrama</w:t>
      </w:r>
      <w:proofErr w:type="spellEnd"/>
      <w:r w:rsidRPr="00F27056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F27056">
        <w:rPr>
          <w:rFonts w:ascii="Times New Roman" w:eastAsia="Times New Roman" w:hAnsi="Times New Roman"/>
          <w:lang w:val="en-US"/>
        </w:rPr>
        <w:t>construido</w:t>
      </w:r>
      <w:proofErr w:type="spellEnd"/>
      <w:r w:rsidRPr="00F27056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F27056">
        <w:rPr>
          <w:rFonts w:ascii="Times New Roman" w:eastAsia="Times New Roman" w:hAnsi="Times New Roman"/>
          <w:lang w:val="en-US"/>
        </w:rPr>
        <w:t>siguiendo</w:t>
      </w:r>
      <w:proofErr w:type="spellEnd"/>
      <w:r w:rsidRPr="00F27056">
        <w:rPr>
          <w:rFonts w:ascii="Times New Roman" w:eastAsia="Times New Roman" w:hAnsi="Times New Roman"/>
          <w:lang w:val="en-US"/>
        </w:rPr>
        <w:t xml:space="preserve"> la </w:t>
      </w:r>
      <w:proofErr w:type="spellStart"/>
      <w:r w:rsidRPr="00F27056">
        <w:rPr>
          <w:rFonts w:ascii="Times New Roman" w:eastAsia="Times New Roman" w:hAnsi="Times New Roman"/>
          <w:lang w:val="en-US"/>
        </w:rPr>
        <w:t>plantilla</w:t>
      </w:r>
      <w:proofErr w:type="spellEnd"/>
      <w:r w:rsidRPr="00F27056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F27056">
        <w:rPr>
          <w:rFonts w:ascii="Times New Roman" w:eastAsia="Times New Roman" w:hAnsi="Times New Roman"/>
          <w:lang w:val="en-US"/>
        </w:rPr>
        <w:t>oficial</w:t>
      </w:r>
      <w:proofErr w:type="spellEnd"/>
      <w:r w:rsidRPr="00F27056">
        <w:rPr>
          <w:rFonts w:ascii="Times New Roman" w:eastAsia="Times New Roman" w:hAnsi="Times New Roman"/>
          <w:lang w:val="en-US"/>
        </w:rPr>
        <w:t xml:space="preserve"> PRISMA 2020 flow diagram for new systematic reviews which included searches of databases and registers only (Page et al., 2021). </w:t>
      </w:r>
      <w:r>
        <w:rPr>
          <w:rFonts w:ascii="Times New Roman" w:eastAsia="Times New Roman" w:hAnsi="Times New Roman"/>
        </w:rPr>
        <w:t>Las cuatro fases (identificación, cribado, elegibilidad e inclusión) tienen valores no vacíos y consistentes entre sí.</w:t>
      </w:r>
    </w:p>
    <w:p w:rsidR="00286C12" w:rsidRDefault="00F27056">
      <w:pPr>
        <w:spacing w:after="8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4297680" cy="4510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ma_fi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5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056" w:rsidRDefault="00F27056" w:rsidP="00F27056">
      <w:pPr>
        <w:spacing w:after="160"/>
        <w:jc w:val="center"/>
      </w:pPr>
      <w:r>
        <w:rPr>
          <w:rFonts w:ascii="Times New Roman" w:eastAsia="Times New Roman" w:hAnsi="Times New Roman"/>
          <w:i/>
          <w:sz w:val="19"/>
        </w:rPr>
        <w:t xml:space="preserve">Figura 1. Diagrama de flujo PRISMA 2020 de la mini revisión sistemática. Fuente: elaboración propia, adaptado de Page et al. </w:t>
      </w:r>
    </w:p>
    <w:p w:rsidR="00286C12" w:rsidRDefault="00286C12">
      <w:pPr>
        <w:spacing w:after="120"/>
        <w:jc w:val="both"/>
      </w:pPr>
    </w:p>
    <w:p w:rsidR="00C01733" w:rsidRPr="00C01733" w:rsidRDefault="00C01733" w:rsidP="00C01733">
      <w:pPr>
        <w:pStyle w:val="Ttulo1"/>
        <w:pageBreakBefore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Gap </w:t>
      </w:r>
      <w:proofErr w:type="spellStart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Analysis</w:t>
      </w:r>
      <w:proofErr w:type="spellEnd"/>
      <w:r w:rsidRPr="00C0173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Table</w:t>
      </w:r>
    </w:p>
    <w:p w:rsidR="00C01733" w:rsidRPr="00C01733" w:rsidRDefault="00C01733" w:rsidP="00C01733">
      <w:pPr>
        <w:pStyle w:val="Ttulo1"/>
        <w:spacing w:before="400" w:after="200"/>
        <w:rPr>
          <w:rFonts w:ascii="Times New Roman" w:hAnsi="Times New Roman" w:cs="Times New Roman"/>
          <w:color w:val="auto"/>
          <w:sz w:val="22"/>
          <w:szCs w:val="22"/>
        </w:rPr>
      </w:pPr>
      <w:r w:rsidRPr="00C01733">
        <w:rPr>
          <w:rFonts w:ascii="Times New Roman" w:hAnsi="Times New Roman" w:cs="Times New Roman"/>
          <w:color w:val="auto"/>
          <w:sz w:val="22"/>
          <w:szCs w:val="22"/>
        </w:rPr>
        <w:t>Al menos un gap candidato por tipo (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knowledge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·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methodological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 xml:space="preserve"> · contextual · </w:t>
      </w:r>
      <w:proofErr w:type="spellStart"/>
      <w:r w:rsidRPr="00C01733">
        <w:rPr>
          <w:rFonts w:ascii="Times New Roman" w:hAnsi="Times New Roman" w:cs="Times New Roman"/>
          <w:color w:val="auto"/>
          <w:sz w:val="22"/>
          <w:szCs w:val="22"/>
        </w:rPr>
        <w:t>theoretical</w:t>
      </w:r>
      <w:proofErr w:type="spellEnd"/>
      <w:r w:rsidRPr="00C01733">
        <w:rPr>
          <w:rFonts w:ascii="Times New Roman" w:hAnsi="Times New Roman" w:cs="Times New Roman"/>
          <w:color w:val="auto"/>
          <w:sz w:val="22"/>
          <w:szCs w:val="22"/>
        </w:rPr>
        <w:t>) con una cita como evidencia.</w:t>
      </w:r>
    </w:p>
    <w:p w:rsidR="00286C12" w:rsidRDefault="00F27056">
      <w:pPr>
        <w:spacing w:after="120"/>
        <w:jc w:val="both"/>
      </w:pPr>
      <w:r>
        <w:rPr>
          <w:rFonts w:ascii="Times New Roman" w:eastAsia="Times New Roman" w:hAnsi="Times New Roman"/>
          <w:sz w:val="21"/>
        </w:rPr>
        <w:t>Se identificó al menos un gap candidato por tipo.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224"/>
        <w:gridCol w:w="2232"/>
        <w:gridCol w:w="3096"/>
        <w:gridCol w:w="2664"/>
      </w:tblGrid>
      <w:tr w:rsidR="00F27056">
        <w:trPr>
          <w:tblHeader/>
          <w:jc w:val="center"/>
        </w:trPr>
        <w:tc>
          <w:tcPr>
            <w:tcW w:w="1224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Tipo de gap</w:t>
            </w:r>
          </w:p>
        </w:tc>
        <w:tc>
          <w:tcPr>
            <w:tcW w:w="2232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Gap candidato</w:t>
            </w:r>
          </w:p>
        </w:tc>
        <w:tc>
          <w:tcPr>
            <w:tcW w:w="3096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Evidencia (cita)</w:t>
            </w:r>
          </w:p>
        </w:tc>
        <w:tc>
          <w:tcPr>
            <w:tcW w:w="2664" w:type="dxa"/>
            <w:shd w:val="clear" w:color="auto" w:fill="1F3864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Oportunidad de investigación</w:t>
            </w:r>
          </w:p>
        </w:tc>
      </w:tr>
      <w:tr w:rsidR="00F27056">
        <w:trPr>
          <w:cantSplit/>
          <w:jc w:val="center"/>
        </w:trPr>
        <w:tc>
          <w:tcPr>
            <w:tcW w:w="122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Conocimiento (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knowledge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Falta evidencia sobre si el uso de IA agéntica en el SDLC se mantiene conforme a normas y arquitecturas formales en contextos distintos de proyectos empresariales privados.</w:t>
            </w:r>
          </w:p>
        </w:tc>
        <w:tc>
          <w:tcPr>
            <w:tcW w:w="3096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Alenezi et al. (2026): reporta “no compliance violations” en 4 proyectos empresariales, pero advierte que los hallazgos son “context-specific and derived from a limited number of enterprise projects”.</w:t>
            </w:r>
          </w:p>
        </w:tc>
        <w:tc>
          <w:tcPr>
            <w:tcW w:w="266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Estudiar el cumplimiento de IA en el desarrollo bajo un marco arquitectónico obligatorio, en una entidad pública con múltiples fábricas de software.</w:t>
            </w:r>
          </w:p>
        </w:tc>
      </w:tr>
      <w:tr w:rsidR="00F27056">
        <w:trPr>
          <w:cantSplit/>
          <w:jc w:val="center"/>
        </w:trPr>
        <w:tc>
          <w:tcPr>
            <w:tcW w:w="122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Metodológico (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methodological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Predominan propuestas de arquitectura con validación empírica débil o no declarada; las pocas evaluaciones usan pocos casos y diseños cuasi-experimentales.</w:t>
            </w:r>
          </w:p>
        </w:tc>
        <w:tc>
          <w:tcPr>
            <w:tcW w:w="3096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Alenezi et al. (2026): resultados “indicative rather than broadly generalizable”, con necesidad de validación cuasi-experimental más sólida. Enyedi (2026): el resumen presenta un diseño de referencia y análisis de vulnerabilidades, sin evaluación empírica declarada. Elsisi et al. (2026), Siddhu et al. (2026) y Karuppuchamy (2026) se titulan “reference architecture” (por confirmar).</w:t>
            </w:r>
          </w:p>
        </w:tc>
        <w:tc>
          <w:tcPr>
            <w:tcW w:w="266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Diseño con enfoque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Design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Science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Research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: construir un artefacto de gobernanza y evaluarlo en ciclos, con métricas de cumplimiento (p. ej., puntaje de conformidad) y comparación antes/después o con grupo de control.</w:t>
            </w:r>
          </w:p>
        </w:tc>
      </w:tr>
      <w:tr w:rsidR="00F27056">
        <w:trPr>
          <w:cantSplit/>
          <w:jc w:val="center"/>
        </w:trPr>
        <w:tc>
          <w:tcPr>
            <w:tcW w:w="122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Contextual (contextual)</w:t>
            </w:r>
          </w:p>
        </w:tc>
        <w:tc>
          <w:tcPr>
            <w:tcW w:w="22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El corpus se concentra en entornos empresariales y comerciales; no aparece el sector público ni los sistemas de seguridad social con convivencia de sistemas legados y obligaciones de interoperabilidad estatal.</w:t>
            </w:r>
          </w:p>
        </w:tc>
        <w:tc>
          <w:tcPr>
            <w:tcW w:w="3096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Alenezi et al. (2026): proyectos empresariales. Siddhu et al. (2026): seguros de vida, único dominio regulado. Stein (2026): contextos de negocio. Ninguno de los 10 títulos menciona gobierno digital, sector público ni seguridad social.</w:t>
            </w:r>
          </w:p>
        </w:tc>
        <w:tc>
          <w:tcPr>
            <w:tcW w:w="266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Caso SIIP–ONP: IA en el desarrollo bajo la Arquitectura de Referencia, con ECA, coexistencia con legados y normativa peruana de gobierno digital. Verificar el gap con los 7 registros no analizados y bases adicionales.</w:t>
            </w:r>
          </w:p>
        </w:tc>
      </w:tr>
      <w:tr w:rsidR="00F27056">
        <w:trPr>
          <w:cantSplit/>
          <w:jc w:val="center"/>
        </w:trPr>
        <w:tc>
          <w:tcPr>
            <w:tcW w:w="122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Teórico (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theoretical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)</w:t>
            </w:r>
          </w:p>
        </w:tc>
        <w:tc>
          <w:tcPr>
            <w:tcW w:w="2232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Hay taxonomías de autonomía/riesgo y propuestas de gobernanza, pero no una teoría que vincule los niveles de autonomía de la IA con criterios de conformidad de una arquitectura de referencia (TOGAF/ArchiMate).</w:t>
            </w:r>
          </w:p>
        </w:tc>
        <w:tc>
          <w:tcPr>
            <w:tcW w:w="3096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Stein (2026): taxonomía A–D y distinción de la capa D como “a fundamental phase change in system autonomy”; su resumen no la relaciona con marcos de arquitectura empresarial. Karuppuchamy (2026) y Kushnerov et al. (2026) proponen arquitecturas gobernadas/zero-trust (por título), sin mapeo declarado a la conformidad arquitectónica.</w:t>
            </w:r>
          </w:p>
        </w:tc>
        <w:tc>
          <w:tcPr>
            <w:tcW w:w="2664" w:type="dxa"/>
          </w:tcPr>
          <w:p w:rsidR="00F27056" w:rsidRDefault="00F2705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Marco teórico que asocie cada nivel de autonomía (A–D) con controles, artefactos y hitos de gobierno arquitectónico (p. ej., dimensiones D1–D5 del ECA), y lo someta a validación.</w:t>
            </w:r>
          </w:p>
        </w:tc>
      </w:tr>
    </w:tbl>
    <w:p w:rsidR="00286C12" w:rsidRDefault="00286C12">
      <w:pPr>
        <w:spacing w:after="40"/>
      </w:pPr>
    </w:p>
    <w:p w:rsidR="00F27056" w:rsidRDefault="00F27056">
      <w:pPr>
        <w:keepNext/>
        <w:spacing w:before="160" w:after="80"/>
        <w:rPr>
          <w:rFonts w:ascii="Times New Roman" w:eastAsia="Times New Roman" w:hAnsi="Times New Roman"/>
          <w:b/>
          <w:sz w:val="24"/>
        </w:rPr>
      </w:pPr>
    </w:p>
    <w:p w:rsidR="00286C12" w:rsidRDefault="00F2705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Referencias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r>
        <w:rPr>
          <w:rFonts w:ascii="Times New Roman" w:eastAsia="Times New Roman" w:hAnsi="Times New Roman"/>
          <w:sz w:val="20"/>
        </w:rPr>
        <w:t xml:space="preserve">Alenezi, M., Akour, M., &amp; Al-Omari, O. (2026). </w:t>
      </w:r>
      <w:r w:rsidRPr="00F27056">
        <w:rPr>
          <w:rFonts w:ascii="Times New Roman" w:eastAsia="Times New Roman" w:hAnsi="Times New Roman"/>
          <w:sz w:val="20"/>
          <w:lang w:val="en-US"/>
        </w:rPr>
        <w:t>Agentic artificial intelligence in software engineering: Integration points, architectural frameworks, empirical evaluation, and governance. International Journal of Technology, 17(4). https://ijtech.eng.ui.ac.id/article/view/8380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>
        <w:rPr>
          <w:rFonts w:ascii="Times New Roman" w:eastAsia="Times New Roman" w:hAnsi="Times New Roman"/>
          <w:sz w:val="20"/>
        </w:rPr>
        <w:t>Bandeira</w:t>
      </w:r>
      <w:proofErr w:type="spellEnd"/>
      <w:r>
        <w:rPr>
          <w:rFonts w:ascii="Times New Roman" w:eastAsia="Times New Roman" w:hAnsi="Times New Roman"/>
          <w:sz w:val="20"/>
        </w:rPr>
        <w:t xml:space="preserve">, A. P., De Oliveira, G. L. B., Maia, P. H. M., Aderaldo, C., &amp; Mendonça, N. (2026). </w:t>
      </w:r>
      <w:r w:rsidRPr="00F27056">
        <w:rPr>
          <w:rFonts w:ascii="Times New Roman" w:eastAsia="Times New Roman" w:hAnsi="Times New Roman"/>
          <w:sz w:val="20"/>
          <w:lang w:val="en-US"/>
        </w:rPr>
        <w:t>LLM-native applications: Toward a new paradigm in software engineering. In Proceedings of the 48th IEEE/ACM International Conference on Software Engineering: Companion Proceedings (ICSE Companion 2026). https://doi.org/10.1145/3774748.3795680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>
        <w:rPr>
          <w:rFonts w:ascii="Times New Roman" w:eastAsia="Times New Roman" w:hAnsi="Times New Roman"/>
          <w:sz w:val="20"/>
        </w:rPr>
        <w:t>Elsisi</w:t>
      </w:r>
      <w:proofErr w:type="spellEnd"/>
      <w:r>
        <w:rPr>
          <w:rFonts w:ascii="Times New Roman" w:eastAsia="Times New Roman" w:hAnsi="Times New Roman"/>
          <w:sz w:val="20"/>
        </w:rPr>
        <w:t xml:space="preserve">, O., Santos, F. D. A., &amp; Melo, G. (2026). </w:t>
      </w:r>
      <w:r w:rsidRPr="00F27056">
        <w:rPr>
          <w:rFonts w:ascii="Times New Roman" w:eastAsia="Times New Roman" w:hAnsi="Times New Roman"/>
          <w:sz w:val="20"/>
          <w:lang w:val="en-US"/>
        </w:rPr>
        <w:t xml:space="preserve">Lifecycle-aware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GenAI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 assistance with MCP via context refinement loops: A reference architecture. In FSE Companion 2026: Proceedings of the 34th ACM International Conference on the Foundations of Software Engineering. https://doi.org/10.1145/3803437.3805617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Enyedi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>, S. (2026). Human-certified module repositories for the AI age. In IEEE International Conference on Automation, Quality and Testing, Robotics (AQTR 2026). arXiv:2603.02512.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lastRenderedPageBreak/>
        <w:t>Karuppuchamy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S. (2026). Governed agentic AI for software platforms: A reference architecture for safe autonomy at scale. In IEEE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SoutheastCon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 2026. https://ieeexplore.ieee.org/document/11475963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Kushnerov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O., Sokol, V.,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Akhiiezer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O., …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Nadtochyi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M., &amp;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Balagura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>, D. (2026). Zero-trust conceptual architecture for secure integration of large language models and autonomous AI agents. In ICHORA 2026 (8th International Congress on Human-Computer Interaction, Optimization and Robotic Applications).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 xml:space="preserve">Moriarty, B. (2026). From classroom to enterprise: Architectural patterns for LLM integration. In IEEE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SysCon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 2026 (20th Annual IEEE International Systems Conference).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 xml:space="preserve">Page, M. J., McKenzie, J. E.,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Bossuyt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>, P. M., et al. (2021). The PRISMA 2020 statement: An updated guideline for reporting systematic reviews. BMJ, 372, n71. https://doi.org/10.1136/bmj.n71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Pokala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H. K. (2026). Agentic dashboard generation from natural language on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lakehouse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 platforms. In ICAISET 2026 (International Conference on Artificial Intelligence Systems and Emerging Technologies).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Siddhu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H. S.,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Pappu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 xml:space="preserve">, K., &amp; </w:t>
      </w:r>
      <w:proofErr w:type="spellStart"/>
      <w:r w:rsidRPr="00F27056">
        <w:rPr>
          <w:rFonts w:ascii="Times New Roman" w:eastAsia="Times New Roman" w:hAnsi="Times New Roman"/>
          <w:sz w:val="20"/>
          <w:lang w:val="en-US"/>
        </w:rPr>
        <w:t>Thanvi</w:t>
      </w:r>
      <w:proofErr w:type="spellEnd"/>
      <w:r w:rsidRPr="00F27056">
        <w:rPr>
          <w:rFonts w:ascii="Times New Roman" w:eastAsia="Times New Roman" w:hAnsi="Times New Roman"/>
          <w:sz w:val="20"/>
          <w:lang w:val="en-US"/>
        </w:rPr>
        <w:t>, Y. S. (2026). Compliance-aware generative AI for life insurance document synthesis: A reference architecture. In ICAISET 2026.</w:t>
      </w:r>
    </w:p>
    <w:p w:rsidR="00286C12" w:rsidRPr="00F27056" w:rsidRDefault="00F27056">
      <w:pPr>
        <w:spacing w:after="60"/>
        <w:ind w:left="432" w:hanging="432"/>
        <w:rPr>
          <w:lang w:val="en-US"/>
        </w:rPr>
      </w:pPr>
      <w:r w:rsidRPr="00F27056">
        <w:rPr>
          <w:rFonts w:ascii="Times New Roman" w:eastAsia="Times New Roman" w:hAnsi="Times New Roman"/>
          <w:sz w:val="20"/>
          <w:lang w:val="en-US"/>
        </w:rPr>
        <w:t>Stein, H. (2026). Toward a taxonomy of generative AI use cases in business contexts: Integrating complexity, risk, and strategy. Journal of Computational Science, 96, 102826. https://www.sciencedirect.com/science/article/pii/S187775032600044X</w:t>
      </w:r>
    </w:p>
    <w:sectPr w:rsidR="00286C12" w:rsidRPr="00F27056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3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4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7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8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3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EA"/>
    <w:rsid w:val="001A30C5"/>
    <w:rsid w:val="00286C12"/>
    <w:rsid w:val="00286DB1"/>
    <w:rsid w:val="00304BB5"/>
    <w:rsid w:val="00350EAE"/>
    <w:rsid w:val="003F0D4F"/>
    <w:rsid w:val="00483897"/>
    <w:rsid w:val="00543D7F"/>
    <w:rsid w:val="005F48E8"/>
    <w:rsid w:val="00694A40"/>
    <w:rsid w:val="007374CC"/>
    <w:rsid w:val="008F7E2F"/>
    <w:rsid w:val="00951020"/>
    <w:rsid w:val="009A5A7C"/>
    <w:rsid w:val="00A11781"/>
    <w:rsid w:val="00A11F70"/>
    <w:rsid w:val="00AB3415"/>
    <w:rsid w:val="00B800AD"/>
    <w:rsid w:val="00B81EE3"/>
    <w:rsid w:val="00C01733"/>
    <w:rsid w:val="00DB7200"/>
    <w:rsid w:val="00E476EA"/>
    <w:rsid w:val="00E81FC5"/>
    <w:rsid w:val="00F27056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AD4E80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2273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Felix Mendoza</cp:lastModifiedBy>
  <cp:revision>28</cp:revision>
  <dcterms:created xsi:type="dcterms:W3CDTF">2026-09-25T23:18:00Z</dcterms:created>
  <dcterms:modified xsi:type="dcterms:W3CDTF">2026-10-23T20:15:00Z</dcterms:modified>
</cp:coreProperties>
</file>