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Times New Roman"/>
          <w:b w:val="0"/>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Times New Roman"/>
          <w:b w:val="0"/>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pPr/>
      <w:r>
        <w:rPr>
          <w:rFonts w:ascii="黑体" w:eastAsia="黑体"/>
          <w:sz w:val="24"/>
          <w:szCs w:val="24"/>
        </w:rPr>
        <w:t>4.0.3 患者口语增强</w:t>
      </w:r>
    </w:p>
    <w:p>
      <w:pPr>
        <w:ind w:firstLine="420"/>
        <w:spacing w:line="360"/>
      </w:pPr>
      <w:r>
        <w:rPr>
          <w:rFonts w:ascii="宋体"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pPr/>
      <w:r>
        <w:rPr>
          <w:rFonts w:ascii="黑体" w:eastAsia="黑体"/>
          <w:sz w:val="24"/>
          <w:szCs w:val="24"/>
        </w:rPr>
        <w:t>4.0.2 路由算法实现</w:t>
      </w:r>
    </w:p>
    <w:p>
      <w:pPr>
        <w:ind w:firstLine="420"/>
        <w:spacing w:line="360"/>
      </w:pPr>
      <w:r>
        <w:rPr>
          <w:rFonts w:ascii="宋体" w:eastAsia="宋体"/>
          <w:sz w:val="24"/>
          <w:szCs w:val="24"/>
        </w:rPr>
        <w:t>路由层采用四级确定性路由：L1口语标准化将患者的非标准口语化中文表达标准化为标准英文医学术语，路由表包含154条口语到标准术语映射；L2疾病归类将标准化疾病名归类到身体系统和病因分类，路由表包含1495条疾病归类记录；L3适应症映射将身体系统与病因组合映射到对应的ATC药品治疗类别，路由表包含200条路由规则；L4药品召回在L3确定的药品类别范围内召回该类别中的所有候选药物。</w:t>
      </w:r>
    </w:p>
    <w:p>
      <w:pPr/>
      <w:r>
        <w:rPr>
          <w:rFonts w:ascii="黑体" w:eastAsia="黑体"/>
          <w:sz w:val="24"/>
          <w:szCs w:val="24"/>
        </w:rPr>
        <w:t>4.0.1 路由层设计理念</w:t>
      </w:r>
    </w:p>
    <w:p>
      <w:pPr>
        <w:ind w:firstLine="420"/>
        <w:spacing w:line="360"/>
      </w:pPr>
      <w:r>
        <w:rPr>
          <w:rFonts w:ascii="宋体" w:eastAsia="宋体"/>
          <w:sz w:val="24"/>
          <w:szCs w:val="24"/>
        </w:rPr>
        <w:t>临床知识路由层是四层推荐架构的新增第零层，核心目标是解决中文疾病名到英文药品适应症之间的语义鸿沟。知识路由层通过四级确定性路由机制，在疾病名和药品之间建立了明确的多层路由网络，保证推荐的可解释性。</w:t>
      </w:r>
    </w:p>
    <w:p>
      <w:pPr/>
      <w:r>
        <w:rPr>
          <w:rFonts w:ascii="黑体" w:eastAsia="黑体"/>
          <w:sz w:val="28"/>
          <w:szCs w:val="28"/>
          <w:b/>
        </w:rPr>
        <w:t>4.0 临床知识路由层</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rPr>
          <w:rFonts w:ascii="Times New Roman" w:hAnsi="Times New Roman"/>
        </w:rPr>
        <w:drawing>
          <wp:inline distT="0" distB="0" distL="114300" distR="114300">
            <wp:extent cx="4754880" cy="4725670"/>
            <wp:effectExtent l="0" t="0" r="7620"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754880" cy="472606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Times New Roman"/>
          <w:b w:val="0"/>
          <w:sz w:val="24"/>
        </w:rPr>
        <w:t>安全过滤层的设计原则从"系统替患者决定"调整为"系统为医生标记，医生来做最终判断"。系统新增了SafetyLevel枚举（SAFE/WARNING/OFF_LABEL/UNVERIFIED/EXCLUDED），将原有的17类规则划分为硬排除（12条，不可审核）和软标记（9条，医生可审核）。硬排除规则（12条，不变）：1.过敏冲突 2.绝对禁忌症 3.致命药物交互（MAOI+SSRI等）4.妊娠X级 5.儿科禁忌 6.哺乳期L5级 7.草药补充剂治感染 8.糖皮质激素加重真菌感染 9.免疫抑制剂加重感染 10.IBD药物用于感染性肠炎（免疫抑制剂危险）11.抗生素治病毒感染（延长排毒期）12.PAH专用药误用于普通高血压。软标记规则（9条，原为排除，现改为标记待审核）：1.PPI用于胆囊病 2.抗生素用于尿路结石 3.降糖药用于结石 4.苯二氮卓用于胆囊病 5.青光眼药用于白内障 6.苯二氮卓用于OCD 7.促尿酸排泄药用于肠炎 8.抗生素用于真菌感染 9.无精确适应症匹配（off_label）。这一调整的核心优势在于：绝对安全红线保持不变，但原被过度拦截的药物现在以"标记待审"方式呈现在医生面前，医生可基于临床经验做最终决策。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distT="0" distB="0" distL="114300" distR="114300">
            <wp:extent cx="4754880" cy="59759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2"/>
                    <a:stretch>
                      <a:fillRect/>
                    </a:stretch>
                  </pic:blipFill>
                  <pic:spPr>
                    <a:xfrm>
                      <a:off x="0" y="0"/>
                      <a:ext cx="4754880" cy="5976489"/>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pPr/>
      <w:r>
        <w:rPr>
          <w:rFonts w:ascii="黑体" w:eastAsia="黑体"/>
          <w:sz w:val="24"/>
          <w:szCs w:val="24"/>
        </w:rPr>
        <w:t>4.6.2 反馈学习机制</w:t>
      </w:r>
    </w:p>
    <w:p>
      <w:pPr>
        <w:ind w:firstLine="420"/>
        <w:spacing w:line="360"/>
      </w:pPr>
      <w:r>
        <w:rPr>
          <w:rFonts w:ascii="宋体" w:eastAsia="宋体"/>
          <w:sz w:val="24"/>
          <w:szCs w:val="24"/>
        </w:rPr>
        <w:t>反馈学习器（FeedbackLearner）从review_log中读取审核决策，自动构建疾病到药品类别的惩罚权重图。当某药品类别被医生反复拒绝，系统自动对该配对施加渐进式惩罚，后续推荐中该药类候选药物得分乘以相应惩罚系数。当医生确认了曾被拒绝的药类时，惩罚系数逐步解除。</w:t>
      </w:r>
    </w:p>
    <w:p>
      <w:pPr/>
      <w:r>
        <w:rPr>
          <w:rFonts w:ascii="黑体" w:eastAsia="黑体"/>
          <w:sz w:val="24"/>
          <w:szCs w:val="24"/>
        </w:rPr>
        <w:t>4.5.1 审核流程设计</w:t>
      </w:r>
    </w:p>
    <w:p>
      <w:pPr>
        <w:ind w:firstLine="420"/>
        <w:spacing w:line="360"/>
      </w:pPr>
      <w:r>
        <w:rPr>
          <w:rFonts w:ascii="宋体"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pPr/>
      <w:r>
        <w:rPr>
          <w:rFonts w:ascii="黑体" w:eastAsia="黑体"/>
          <w:sz w:val="28"/>
          <w:szCs w:val="28"/>
          <w:b/>
        </w:rPr>
        <w:t>4.5 审核反馈闭环</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4.5</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Times New Roman"/>
          <w:b w:val="0"/>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Times New Roman"/>
          <w:b w:val="0"/>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