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Normal1"/>
        <w:jc w:val="right"/>
        <w:rPr>
          <w:rFonts w:cs="Times New Roman"/>
        </w:rPr>
      </w:pPr>
      <w:r>
        <w:rPr>
          <w:rFonts w:cs="Times New Roman"/>
        </w:rPr>
      </w:r>
    </w:p>
    <w:p>
      <w:pPr>
        <w:pStyle w:val="ConsPlusNormal1"/>
        <w:jc w:val="right"/>
        <w:rPr>
          <w:rFonts w:cs="Times New Roman"/>
        </w:rPr>
      </w:pPr>
      <w:r>
        <w:rPr>
          <w:rFonts w:cs="Times New Roman"/>
        </w:rPr>
      </w:r>
    </w:p>
    <w:p>
      <w:pPr>
        <w:pStyle w:val="ConsPlusNormal1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Приложение № 16 к Договору</w:t>
      </w:r>
    </w:p>
    <w:p>
      <w:pPr>
        <w:pStyle w:val="Normal"/>
        <w:spacing w:before="91" w:after="160"/>
        <w:ind w:right="17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 01.09.2025 № 70-2025-001389 </w:t>
      </w:r>
    </w:p>
    <w:p>
      <w:pPr>
        <w:pStyle w:val="Normal"/>
        <w:spacing w:before="91" w:after="160"/>
        <w:ind w:right="176"/>
        <w:jc w:val="righ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  <w:b/>
          <w:caps/>
          <w:sz w:val="32"/>
        </w:rPr>
      </w:pPr>
      <w:r>
        <w:rPr>
          <w:rFonts w:cs="Times New Roman" w:ascii="Times New Roman" w:hAnsi="Times New Roman"/>
          <w:b/>
          <w:caps/>
          <w:sz w:val="32"/>
        </w:rPr>
        <w:t>Паспорт проектной (студенческой) командЫ</w:t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>
          <w:rFonts w:cs="Times New Roman"/>
          <w:b/>
          <w:sz w:val="28"/>
        </w:rPr>
        <w:t>I</w:t>
      </w:r>
      <w:r>
        <w:rPr>
          <w:rFonts w:cs="Times New Roman"/>
          <w:b/>
          <w:caps/>
          <w:sz w:val="28"/>
        </w:rPr>
        <w:t>.</w:t>
      </w:r>
      <w:r>
        <w:rPr>
          <w:rFonts w:cs="Times New Roman"/>
          <w:b/>
          <w:caps/>
          <w:sz w:val="32"/>
        </w:rPr>
        <w:t xml:space="preserve"> </w:t>
      </w:r>
      <w:r>
        <w:rPr>
          <w:rFonts w:cs="Times New Roman"/>
          <w:b/>
          <w:caps/>
          <w:sz w:val="28"/>
        </w:rPr>
        <w:t xml:space="preserve">Общая информация о проектной </w:t>
        <w:br/>
        <w:t>(студенческой) команде</w:t>
      </w:r>
    </w:p>
    <w:p>
      <w:pPr>
        <w:pStyle w:val="Normal"/>
        <w:widowControl w:val="false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tbl>
      <w:tblPr>
        <w:tblStyle w:val="TableNormal"/>
        <w:tblW w:w="9939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32"/>
        <w:gridCol w:w="4034"/>
        <w:gridCol w:w="5273"/>
      </w:tblGrid>
      <w:tr>
        <w:trPr>
          <w:trHeight w:val="44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ФИО лидера команды*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Text1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 w:val="20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Польшин Артем Денисович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Ссылка на профиль лидера команды в информационной системе Leader-ID*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https://leader-id.ru/users/4807496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Количество участников*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Стадия развития команды (статус)*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Команда сформирована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Наставник команды*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Огур Максим Геннадьевич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6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Название проекта, над которым работает команда*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Робот с компьютерным зрением для точечного земледелия (VistaCrop)</w:t>
            </w:r>
          </w:p>
        </w:tc>
      </w:tr>
      <w:tr>
        <w:trPr>
          <w:trHeight w:val="464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7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Ссылка на цифровой профиль проекта в Projects*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hyperlink r:id="rId6" w:history="1">
              <w:r>
                <w:t xml:space="preserve">https://pt.2035.university/project/robot-s-komputernym-zreniem-dla-tocecnogo-zemledelia-vistacrop</w:t>
              </w:r>
            </w:hyperlink>
          </w:p>
        </w:tc>
      </w:tr>
      <w:tr>
        <w:trPr>
          <w:trHeight w:val="44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1"/>
              <w:suppressAutoHyphens w:val="true"/>
              <w:spacing w:before="278" w:after="0"/>
              <w:ind w:hanging="0" w:left="0"/>
              <w:rPr>
                <w:rFonts w:cs="Times New Roman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8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Text1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 w:val="20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Рынок НТИ*</w:t>
              <w:br/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TechNet</w:t>
            </w:r>
          </w:p>
        </w:tc>
      </w:tr>
      <w:tr>
        <w:trPr>
          <w:trHeight w:val="226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9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Сквозные технологии*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Искусственный интеллект, Технологии хранения и анализа больших данных</w:t>
            </w:r>
          </w:p>
        </w:tc>
      </w:tr>
      <w:tr>
        <w:trPr>
          <w:trHeight w:val="88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1"/>
              <w:keepLines/>
              <w:tabs>
                <w:tab w:val="clear" w:pos="708"/>
                <w:tab w:val="left" w:pos="170" w:leader="none"/>
              </w:tabs>
              <w:suppressAutoHyphens w:val="true"/>
              <w:spacing w:before="278" w:after="0"/>
              <w:ind w:hanging="0" w:left="0"/>
              <w:rPr>
                <w:rFonts w:cs="Times New Roman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10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Text1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 w:val="20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Технологическое направление в соответствии с перечнем критических технологий РФ*</w:t>
              <w:br/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Технологии создания доверенного и защищенного системного и прикладного программного обеспечения, в том числе для управления социальными и экономически значимыми системами.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11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1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ИНН вуза (акселератора)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2634003069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12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1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Вуз (акселератора)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ФГБОУ ВО «Ставропольский государственный аграрный университет»</w:t>
            </w:r>
          </w:p>
        </w:tc>
      </w:tr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13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1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Регион присутствия акселератора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Ставропольский край</w:t>
            </w:r>
          </w:p>
        </w:tc>
      </w:tr>
    </w:tbl>
    <w:p>
      <w:pPr>
        <w:pStyle w:val="Normal"/>
        <w:widowControl w:val="false"/>
        <w:spacing w:lineRule="auto" w:line="240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>
          <w:rFonts w:cs="Times New Roman"/>
          <w:b/>
          <w:sz w:val="28"/>
        </w:rPr>
        <w:t>II</w:t>
      </w:r>
      <w:r>
        <w:rPr>
          <w:rFonts w:cs="Times New Roman"/>
          <w:b/>
          <w:caps/>
          <w:sz w:val="28"/>
        </w:rPr>
        <w:t>. Состав команды и определение ролей в ней</w:t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/>
      </w:r>
    </w:p>
    <w:tbl>
      <w:tblGrid>
        <w:gridCol w:w="500" w:type="dxa"/>
        <w:gridCol w:w="4000" w:type="dxa"/>
        <w:gridCol w:w="5500" w:type="dxa"/>
      </w:tblGrid>
      <w:tblPr>
        <w:tblW w:w="0" w:type="pct"/>
        <w:tblLayout w:type="autofit"/>
        <w:tblCellMar>
          <w:top w:w="75" w:type="dxa"/>
          <w:left w:w="75" w:type="dxa"/>
          <w:right w:w="75" w:type="dxa"/>
          <w:bottom w:w="75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Участник 1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ФИО*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Польшин Артем Денисович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Ссылка на профиль в информационной системе Leader-ID*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https://leader-id.ru/users/4807496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Cпециальность (для студентов)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Информационные системы и технологии в бизнесе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Курс (для студентов)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Должность (для работников вуза)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Роль в команде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Формирователь, изыскатель, мыслитель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Функциональные задачи в команде*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Мотивирование команды; контроль исполнения; организация взаимодействия команды с внешней средой, включающей в себя экспертов и партнёрские компании из предметной области проекта; генерация идей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Участник 2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ФИО*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Оберемко Анна Алексеевна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Ссылка на профиль в информационной системе Leader-ID*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https://leader-id.ru/users/3427731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Cпециальность (для студентов)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Информационные системы и технологии в бизнесе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Курс (для студентов)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Должность (для работников вуза)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Роль в команде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Исполнитель, оценщик, коллективист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Функциональные задачи в команде*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Анализ информации; нахождение компромиссных решений; cтруктурирование информации; оформление презентаций</w:t>
            </w:r>
          </w:p>
        </w:tc>
      </w:tr>
    </w:tbl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8"/>
        </w:rPr>
        <w:t>III</w:t>
      </w:r>
      <w:r>
        <w:rPr>
          <w:rFonts w:cs="Times New Roman" w:ascii="Times New Roman" w:hAnsi="Times New Roman"/>
          <w:b/>
          <w:caps/>
          <w:sz w:val="28"/>
        </w:rPr>
        <w:t>. Общий план развития участников команды</w:t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tbl>
      <w:tblPr>
        <w:tblStyle w:val="TableNormal"/>
        <w:tblW w:w="9939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32"/>
        <w:gridCol w:w="4034"/>
        <w:gridCol w:w="5273"/>
      </w:tblGrid>
      <w:tr>
        <w:trPr>
          <w:trHeight w:val="44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Общие цели команды*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Text1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 w:val="20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- До конца мая 2026 года разработать прототип робота, создать первую MVP-модель. - До конца октября 2026 года закончить тестирование MVP-модели и откорректировать недоработки. - До конца декабря 2026 года привлечь денежные средства на дальнейшую разработку проекта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Ключевые гипотезы, которые будут протестированы (идеи проектов)*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У предпринимателей из области сельского хозяйства высокие материальные и финансовые затраты на обработку почвы и растений.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общие методы развития компетенций команды*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Регулярные встречи с трекером и наставником проекта, просмотры обучающих видеороликов по тематике проекта, проведение встреч с экспертами в предметной области проекта.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 отслеживания развития компетенций команды*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Сравнительные анализы результатов проекта.</w:t>
            </w:r>
          </w:p>
        </w:tc>
      </w:tr>
      <w:tr>
        <w:trPr>
          <w:trHeight w:val="458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Ожидаемая помощь от организаторов акселерационной программы, наставников*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Поднятие степени компетентности в предметной области проекта.</w:t>
            </w:r>
          </w:p>
        </w:tc>
      </w:tr>
    </w:tbl>
    <w:p>
      <w:pPr>
        <w:pStyle w:val="Normal"/>
        <w:widowControl w:val="false"/>
        <w:spacing w:lineRule="auto" w:line="240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>
          <w:rFonts w:cs="Times New Roman"/>
          <w:b/>
          <w:sz w:val="28"/>
        </w:rPr>
        <w:t>IV</w:t>
      </w:r>
      <w:r>
        <w:rPr>
          <w:rFonts w:cs="Times New Roman"/>
          <w:b/>
          <w:caps/>
          <w:sz w:val="28"/>
        </w:rPr>
        <w:t xml:space="preserve">. Оценка стартового потенциала команды по результатам входной диагностики </w:t>
        <w:br/>
      </w:r>
      <w:r>
        <w:rPr>
          <w:rFonts w:cs="Times New Roman"/>
          <w:i/>
        </w:rPr>
        <w:t>(заполняется совместно с наставником по шкале 0-5, где 0 - отсутствие навыка/компетенции)</w:t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>
          <w:rFonts w:cs="Times New Roman"/>
          <w:b/>
          <w:caps/>
          <w:sz w:val="32"/>
        </w:rPr>
      </w:r>
    </w:p>
    <w:tbl>
      <w:tblPr>
        <w:tblStyle w:val="TableNormal"/>
        <w:tblW w:w="9905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27"/>
        <w:gridCol w:w="4023"/>
        <w:gridCol w:w="5255"/>
      </w:tblGrid>
      <w:tr>
        <w:trPr>
          <w:trHeight w:val="48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Формирование команды и распределение ролей*</w:t>
            </w:r>
          </w:p>
        </w:tc>
      </w:tr>
      <w:tr>
        <w:trPr>
          <w:trHeight w:val="66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в команде чётко определены роли, зоны ответственности и уровень доверия*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дополнительных тестов по определению роли в команде, подобных тесту Белбина.</w:t>
            </w:r>
          </w:p>
        </w:tc>
      </w:tr>
      <w:tr>
        <w:trPr>
          <w:trHeight w:val="356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Генерация и развитие продуктовых идей</w:t>
            </w: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Развитие креативного и критического мышления посредством проведения различных квизов.</w:t>
            </w:r>
          </w:p>
        </w:tc>
      </w:tr>
      <w:tr>
        <w:trPr>
          <w:trHeight w:val="46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Разработка и проверка гипотез*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умеет ли команда разрабатывать, приоритизировать и проверять гипотезы продукта/бизнеса*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Развитие креативного мышления посредством проведения интерактивных тестов на сообразительность.</w:t>
            </w:r>
          </w:p>
        </w:tc>
      </w:tr>
      <w:tr>
        <w:trPr>
          <w:trHeight w:val="88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tabs>
                <w:tab w:val="clear" w:pos="708"/>
                <w:tab w:val="left" w:pos="170" w:leader="none"/>
              </w:tabs>
              <w:suppressAutoHyphens w:val="true"/>
              <w:spacing w:lineRule="auto" w:line="240" w:before="278"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Валидация потенциальных потребителей и проведение интервью*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Составить перечень вопросов и провести CustDev’ы с большим количеством специалистов.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Обоснование бизнес-модели стартапа*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Изучение специализированной литературы, истории развития крупных компаний;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6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Командная коммуникация и soft skills*</w:t>
            </w:r>
          </w:p>
        </w:tc>
      </w:tr>
      <w:tr>
        <w:trPr>
          <w:trHeight w:val="93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неформальных встреч для более глубокого изучения сокомандников.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7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Принятие решений в условиях неопределённости*</w:t>
            </w:r>
          </w:p>
        </w:tc>
      </w:tr>
      <w:tr>
        <w:trPr>
          <w:trHeight w:val="93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Повышение уверенности в своих знаниях участников команды посредством проведения несложных тестов по предметной области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8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Стратегия развития и масштабирования*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Проводить встречи с трекером и наставником по проекту для формирования картины верного развития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9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Инициативность и стремление к результату*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 уровень инициативности, ответственности и фокус на результат в работе команды*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интерактивов с целью сильнее заинтересовать участников команды в предметной области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10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Навыки командной работы*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неформальных встреч для боле глубокого изучения сокомандников.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11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Гибкость мышления / адаптивность*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реагирует на изменения, меняет подход и ищет альтернативные решения*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Постановка нестандартных задач с целью их быстрого решения.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12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Умение ставить и решать задачи*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формулирует задачи, расставляет приоритеты и доводит до результата*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Проводить встречи с трекером и наставником по проекту для формирования чёткой иерархии целей при разработке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13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Навыки коммуникации и аргументации*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доносит свою точку зрения, аргументирует идеи и ведёт деловой диалог*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Повышение уровня компетентности участников посредством изучения специализированной литературы.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14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Ведение переговоров с потенциальными инвесторами*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большего количества встреч с инвесторами.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15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Барьеры развития компетенций команды*</w:t>
            </w:r>
          </w:p>
        </w:tc>
      </w:tr>
      <w:tr>
        <w:trPr>
          <w:trHeight w:val="22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 наличие барьеров*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</w:tr>
      <w:tr>
        <w:trPr>
          <w:trHeight w:val="45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планируемые для развития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Проведение лекции по тайм-менеджменту для повышения компетентности участников команды в области распределения полезного времени, которое может быть затрачено на изучение предметной области разрабатываемого проекта.</w:t>
            </w:r>
          </w:p>
        </w:tc>
      </w:tr>
    </w:tbl>
    <w:p>
      <w:pPr>
        <w:pStyle w:val="Normal"/>
        <w:widowControl w:val="false"/>
        <w:spacing w:lineRule="auto" w:line="240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i/>
          <w:i/>
        </w:rPr>
      </w:pPr>
      <w:r>
        <w:rPr>
          <w:rFonts w:cs="Times New Roman"/>
          <w:b/>
          <w:sz w:val="28"/>
        </w:rPr>
        <w:t>V</w:t>
      </w:r>
      <w:r>
        <w:rPr>
          <w:rFonts w:cs="Times New Roman"/>
          <w:b/>
          <w:caps/>
          <w:sz w:val="28"/>
        </w:rPr>
        <w:t xml:space="preserve">. Оценка потенциала команды по результатам </w:t>
        <w:br/>
        <w:t>участия в акселерационной программе</w:t>
        <w:br/>
      </w:r>
      <w:r>
        <w:rPr>
          <w:rFonts w:cs="Times New Roman"/>
          <w:i/>
        </w:rPr>
        <w:t>(заполняется в соответствии с пройденной диагностикой совместно с наставником по шкале 0-5, где 0 - отсутствие навыка/компетенции)</w:t>
      </w:r>
    </w:p>
    <w:p>
      <w:pPr>
        <w:pStyle w:val="TableText1"/>
        <w:widowControl w:val="false"/>
        <w:spacing w:before="0" w:after="0"/>
        <w:jc w:val="center"/>
        <w:rPr>
          <w:rFonts w:cs="Times New Roman"/>
          <w:b/>
          <w:caps/>
          <w:sz w:val="32"/>
        </w:rPr>
      </w:pPr>
      <w:r>
        <w:rPr>
          <w:rFonts w:cs="Times New Roman"/>
          <w:b/>
          <w:caps/>
          <w:sz w:val="32"/>
        </w:rPr>
      </w:r>
    </w:p>
    <w:tbl>
      <w:tblPr>
        <w:tblStyle w:val="TableNormal"/>
        <w:tblW w:w="990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27"/>
        <w:gridCol w:w="4023"/>
        <w:gridCol w:w="5255"/>
      </w:tblGrid>
      <w:tr>
        <w:trPr>
          <w:trHeight w:val="48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Формирование команды и распределение ролей*</w:t>
            </w:r>
          </w:p>
        </w:tc>
      </w:tr>
      <w:tr>
        <w:trPr>
          <w:trHeight w:val="66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в команде чётко определены роли, зоны ответственности и уровень доверия*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Проведённые тесты Белбина, а также лекция по распределению ролей в команде.</w:t>
            </w:r>
          </w:p>
        </w:tc>
      </w:tr>
      <w:tr>
        <w:trPr>
          <w:trHeight w:val="356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Генерация и развитие продуктовых идей</w:t>
            </w: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команда умеет находить, формулировать и развивать идеи, опираясь на тренды и инсайты рынка*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Проведённая лекция по выявлению проблем в обществе.</w:t>
            </w:r>
          </w:p>
        </w:tc>
      </w:tr>
      <w:tr>
        <w:trPr>
          <w:trHeight w:val="464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Разработка и проверка гипотез*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умеет ли команда разрабатывать, приоритизировать и проверять гипотезы продукта/бизнеса*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Проведённые встречи с трекером и наставником проекта.</w:t>
            </w:r>
          </w:p>
        </w:tc>
      </w:tr>
      <w:tr>
        <w:trPr>
          <w:trHeight w:val="88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tabs>
                <w:tab w:val="clear" w:pos="708"/>
                <w:tab w:val="left" w:pos="170" w:leader="none"/>
              </w:tabs>
              <w:suppressAutoHyphens w:val="true"/>
              <w:spacing w:lineRule="auto" w:line="240" w:before="278"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Валидация потенциальных потребителей и проведение интервью*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проводила ли команда CustDev, умеет ли выявлять реальные «боли» клиентов и адаптировать продукт под них*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тренинг по планированию и реализации CustDev’а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Обоснование бизнес-модели стартапа*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чётко команда понимает, как проект будет зарабатывать, масштабироваться и удерживать клиентов*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встречи с трекером по разработке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6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Командная коммуникация и soft skills*</w:t>
            </w:r>
          </w:p>
        </w:tc>
      </w:tr>
      <w:tr>
        <w:trPr>
          <w:trHeight w:val="93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взаимодействует между собой и с внешними партнёрами, есть ли навыки активного слушания, обратной связи, конструктивных споров*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хакатон для участников в рамках акселерационной программы.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7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Принятие решений в условиях неопределённости*</w:t>
            </w:r>
          </w:p>
        </w:tc>
      </w:tr>
      <w:tr>
        <w:trPr>
          <w:trHeight w:val="93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действует в условиях неопределённости, насколько уверенно принимает решения без полной информации*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хакатон для участников в рамках акселерационной программы.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8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Стратегия развития и масштабирования*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насколько команда умеет выстраивать маршрут развития проекта и адаптироваться к внешним изменениям*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Проведённые встречи с трекером по развитию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9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Инициативность и стремление к результату*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 уровень инициативности, ответственности и фокус на результат в работе команды*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Проведённые лекции по приоритезации задач.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10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Навыки командной работы*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работает вместе, поддерживает друг друга, делит задачи и принимает коллективные решения*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Проведённые неформальные встречи, сблизившие участников команды.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11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Гибкость мышления / адаптивность*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реагирует на изменения, меняет подход и ищет альтернативные решения*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5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в рамках акселерационной программы хакатон.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12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Умение ставить и решать задачи*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формулирует задачи, расставляет приоритеты и доводит до результата*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Проведённый тренинг по формулированию целей и задач своего проекта.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13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Навыки коммуникации и аргументации*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как команда доносит свою точку зрения, аргументирует идеи и ведёт деловой диалог*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Повышение осведомлённости команды о предметной области проекта посредством изучения рекомендованной трекером и наставником литературы.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14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Ведение переговоров с потенциальными инвесторами*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Оцените, умеет ли команда чётко и убедительно представить проект, обосновать ценность и отработать возражения*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Проведённая предзащита проектов в рамках акселерационной программы.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15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Барьеры развития компетенций команды*</w:t>
            </w:r>
          </w:p>
        </w:tc>
      </w:tr>
      <w:tr>
        <w:trPr>
          <w:trHeight w:val="222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Оцените наличие барьеров*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3</w:t>
            </w:r>
          </w:p>
        </w:tc>
      </w:tr>
      <w:tr>
        <w:trPr>
          <w:trHeight w:val="695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методы, использованные для достижения результата по развитию данной компетенции*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Проведённая лекция по разграничению времени для проработки разных направлений проекта.</w:t>
            </w:r>
          </w:p>
        </w:tc>
      </w:tr>
    </w:tbl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8"/>
        </w:rPr>
        <w:t>VI</w:t>
      </w:r>
      <w:r>
        <w:rPr>
          <w:rFonts w:cs="Times New Roman" w:ascii="Times New Roman" w:hAnsi="Times New Roman"/>
          <w:b/>
          <w:caps/>
          <w:sz w:val="28"/>
        </w:rPr>
        <w:t xml:space="preserve">. Результаты развития компетенций </w:t>
        <w:br/>
        <w:t>участников команды</w:t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tbl>
      <w:tblPr>
        <w:tblStyle w:val="TableNormal"/>
        <w:tblW w:w="990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27"/>
        <w:gridCol w:w="4023"/>
        <w:gridCol w:w="5255"/>
      </w:tblGrid>
      <w:tr>
        <w:trPr>
          <w:trHeight w:val="618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Как развивались компетенции участников команды во время акселерационной программы</w:t>
            </w: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*</w:t>
            </w:r>
          </w:p>
        </w:tc>
      </w:tr>
      <w:tr>
        <w:trPr>
          <w:trHeight w:val="2209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i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комплексно, какие активности, методы работы или подходы были использованы наставником для развития компетенций участников команды в ходе акселерационной программы. Можно указать этапы, конкретные мероприятия, использование ХАДИ-циклов, проектные вызовы, обратную связь и т.д.</w:t>
            </w: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Проведён ряд лекций, затрагивающих обширную область разработки проектов и идей; Проведённые тренинги, хакатоны, встречи с наставниками и трекерами; Активная обратная связь 24/7; «Труба экспертов», в которой участники смогли попробовать себя в области представления своих проектов.</w:t>
            </w:r>
          </w:p>
        </w:tc>
      </w:tr>
      <w:tr>
        <w:trPr>
          <w:trHeight w:val="241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2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1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Ключевые гипотезы, которые были протестированы (идеи проектов)*</w:t>
            </w:r>
          </w:p>
        </w:tc>
      </w:tr>
      <w:tr>
        <w:trPr>
          <w:trHeight w:val="1170" w:hRule="atLeast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i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rлючевые гипотезы, которые были протестированы (идеи проектов)*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У предпринимателей из области сельского хозяйства высокие материальные и финансовые затраты на обработку почвы и растений, связанные с неэкономным распределением химикатов.</w:t>
            </w:r>
          </w:p>
        </w:tc>
      </w:tr>
    </w:tbl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8"/>
        </w:rPr>
        <w:t>VII</w:t>
      </w:r>
      <w:r>
        <w:rPr>
          <w:rFonts w:cs="Times New Roman" w:ascii="Times New Roman" w:hAnsi="Times New Roman"/>
          <w:b/>
          <w:caps/>
          <w:sz w:val="28"/>
        </w:rPr>
        <w:t>. Перспектива дальнейшего развития команды</w:t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cs="Times New Roman"/>
          <w:b/>
          <w:sz w:val="20"/>
        </w:rPr>
      </w:pPr>
      <w:r>
        <w:rPr>
          <w:rFonts w:cs="Times New Roman" w:ascii="Times New Roman" w:hAnsi="Times New Roman"/>
          <w:b/>
          <w:sz w:val="20"/>
        </w:rPr>
      </w:r>
    </w:p>
    <w:tbl>
      <w:tblPr>
        <w:tblStyle w:val="TableNormal"/>
        <w:tblW w:w="9939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32"/>
        <w:gridCol w:w="4034"/>
        <w:gridCol w:w="5273"/>
      </w:tblGrid>
      <w:tr>
        <w:trPr>
          <w:trHeight w:val="22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414" w:leader="none"/>
              </w:tabs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1</w:t>
            </w:r>
          </w:p>
        </w:tc>
        <w:tc>
          <w:tcPr>
            <w:tcW w:w="9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b/>
                <w:color w:val="000000"/>
                <w:kern w:val="0"/>
                <w:sz w:val="20"/>
                <w:szCs w:val="20"/>
                <w:lang w:val="ru-RU" w:eastAsia="zh-CN" w:bidi="hi-IN"/>
              </w:rPr>
              <w:t>Перспектива дальнейшего развития команды*</w:t>
            </w:r>
          </w:p>
        </w:tc>
      </w:tr>
      <w:tr>
        <w:trPr>
          <w:trHeight w:val="1102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3"/>
              <w:widowControl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Noto Serif CJK SC" w:cs="Times New Roman" w:ascii="Times New Roman" w:hAnsi="Times New Roman"/>
                <w:i/>
                <w:color w:val="000000"/>
                <w:kern w:val="0"/>
                <w:sz w:val="20"/>
                <w:szCs w:val="20"/>
                <w:lang w:val="ru-RU" w:eastAsia="zh-CN" w:bidi="hi-IN"/>
              </w:rPr>
              <w:t>Опишите планирует ли команда дальше развиваться, какие следующие шаги запланированы, какие механизмы предусмотрены для равзития команды в случае изменения состава участников*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Text1"/>
              <w:widowControl w:val="false"/>
              <w:suppressAutoHyphens w:val="true"/>
              <w:spacing w:before="0" w:after="0"/>
              <w:jc w:val="left"/>
              <w:rPr>
                <w:rFonts w:cs="Times New Roman"/>
                <w:sz w:val="20"/>
              </w:rPr>
            </w:pPr>
            <w:r>
              <w:rPr>
                <w:rFonts w:eastAsia="Noto Serif CJK SC" w:cs="Times New Roman"/>
                <w:color w:val="000000"/>
                <w:kern w:val="0"/>
                <w:sz w:val="20"/>
                <w:szCs w:val="20"/>
                <w:lang w:val="ru-RU" w:eastAsia="zh-CN" w:bidi="hi-IN"/>
              </w:rPr>
              <w:t>Команда планирует дальнейшее активное развитие с последующей разработкой MVP-модели, привлечением финансирования и выходом на технологический рынок. В случае изменения состава команды произойдёт перераспределение ролей в соответствии с результатами теста Белбина.</w:t>
            </w:r>
            <w:bookmarkStart w:id="0" w:name="_GoBack"/>
            <w:bookmarkEnd w:id="0"/>
          </w:p>
        </w:tc>
      </w:tr>
    </w:tbl>
    <w:p>
      <w:pPr>
        <w:pStyle w:val="Normal"/>
        <w:widowControl w:val="false"/>
        <w:spacing w:lineRule="auto" w:line="24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1" w:gutter="0" w:header="709" w:top="766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XO Thames">
    <w:charset w:val="01"/>
    <w:family w:val="auto"/>
    <w:pitch w:val="default"/>
  </w:font>
  <w:font w:name="Arial">
    <w:charset w:val="01"/>
    <w:family w:val="swiss"/>
    <w:pitch w:val="default"/>
  </w:font>
  <w:font w:name="Helvetica Neue">
    <w:charset w:val="01"/>
    <w:family w:val="auto"/>
    <w:pitch w:val="default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color w:val="000000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Noto Serif CJK SC" w:cs="FreeSans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pPr>
      <w:widowControl/>
      <w:suppressAutoHyphens w:val="true"/>
      <w:bidi w:val="0"/>
      <w:spacing w:before="120" w:after="120"/>
      <w:jc w:val="both"/>
      <w:outlineLvl w:val="0"/>
    </w:pPr>
    <w:rPr>
      <w:rFonts w:ascii="XO Thames" w:hAnsi="XO Thames" w:eastAsia="Noto Serif CJK SC" w:cs="FreeSans"/>
      <w:b/>
      <w:color w:val="00000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link w:val="2"/>
    <w:uiPriority w:val="9"/>
    <w:qFormat/>
    <w:pPr>
      <w:widowControl/>
      <w:suppressAutoHyphens w:val="true"/>
      <w:bidi w:val="0"/>
      <w:spacing w:before="120" w:after="120"/>
      <w:jc w:val="both"/>
      <w:outlineLvl w:val="1"/>
    </w:pPr>
    <w:rPr>
      <w:rFonts w:ascii="XO Thames" w:hAnsi="XO Thames" w:eastAsia="Noto Serif CJK SC" w:cs="FreeSans"/>
      <w:b/>
      <w:color w:val="00000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link w:val="3"/>
    <w:uiPriority w:val="9"/>
    <w:qFormat/>
    <w:pPr>
      <w:widowControl/>
      <w:suppressAutoHyphens w:val="true"/>
      <w:bidi w:val="0"/>
      <w:spacing w:before="120" w:after="120"/>
      <w:jc w:val="both"/>
      <w:outlineLvl w:val="2"/>
    </w:pPr>
    <w:rPr>
      <w:rFonts w:ascii="XO Thames" w:hAnsi="XO Thames" w:eastAsia="Noto Serif CJK SC" w:cs="FreeSans"/>
      <w:b/>
      <w:color w:val="00000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before="120" w:after="120"/>
      <w:jc w:val="both"/>
      <w:outlineLvl w:val="3"/>
    </w:pPr>
    <w:rPr>
      <w:rFonts w:ascii="XO Thames" w:hAnsi="XO Thames" w:eastAsia="Noto Serif CJK SC" w:cs="FreeSans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before="120" w:after="120"/>
      <w:jc w:val="both"/>
      <w:outlineLvl w:val="4"/>
    </w:pPr>
    <w:rPr>
      <w:rFonts w:ascii="XO Thames" w:hAnsi="XO Thames" w:eastAsia="Noto Serif CJK SC" w:cs="FreeSans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Style11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Текст концевой сноски Знак"/>
    <w:uiPriority w:val="99"/>
    <w:qFormat/>
    <w:rPr>
      <w:sz w:val="20"/>
    </w:rPr>
  </w:style>
  <w:style w:type="character" w:styleId="Style1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 w:customStyle="1">
    <w:name w:val="Contents 2"/>
    <w:qFormat/>
    <w:rPr>
      <w:rFonts w:ascii="XO Thames" w:hAnsi="XO Thames"/>
      <w:sz w:val="28"/>
    </w:rPr>
  </w:style>
  <w:style w:type="character" w:styleId="ConsPlusNormal" w:customStyle="1">
    <w:name w:val="ConsPlusNormal"/>
    <w:link w:val="ConsPlusNormal1"/>
    <w:qFormat/>
    <w:rPr>
      <w:color w:val="000000"/>
      <w:sz w:val="24"/>
      <w:u w:val="none"/>
    </w:rPr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Endnote" w:customStyle="1">
    <w:name w:val="Endnote"/>
    <w:link w:val="Endnote1"/>
    <w:qFormat/>
    <w:rPr>
      <w:rFonts w:ascii="XO Thames" w:hAnsi="XO Thames"/>
      <w:sz w:val="22"/>
    </w:rPr>
  </w:style>
  <w:style w:type="character" w:styleId="Heading31" w:customStyle="1">
    <w:name w:val="Heading 31"/>
    <w:qFormat/>
    <w:rPr>
      <w:rFonts w:ascii="XO Thames" w:hAnsi="XO Thames"/>
      <w:b/>
      <w:sz w:val="26"/>
    </w:rPr>
  </w:style>
  <w:style w:type="character" w:styleId="22" w:customStyle="1">
    <w:name w:val="Стиль таблицы 2"/>
    <w:link w:val="211"/>
    <w:qFormat/>
    <w:rPr>
      <w:rFonts w:ascii="Helvetica Neue" w:hAnsi="Helvetica Neue"/>
      <w:color w:val="000000"/>
    </w:rPr>
  </w:style>
  <w:style w:type="character" w:styleId="Contents3" w:customStyle="1">
    <w:name w:val="Contents 3"/>
    <w:qFormat/>
    <w:rPr>
      <w:rFonts w:ascii="XO Thames" w:hAnsi="XO Thames"/>
      <w:sz w:val="28"/>
    </w:rPr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>
      <w:rFonts w:ascii="XO Thames" w:hAnsi="XO Thames"/>
      <w:b/>
      <w:sz w:val="28"/>
    </w:rPr>
  </w:style>
  <w:style w:type="character" w:styleId="HeaderandFooter" w:customStyle="1">
    <w:name w:val="Header and Footer"/>
    <w:link w:val="HeaderandFooter1"/>
    <w:qFormat/>
    <w:rPr>
      <w:rFonts w:ascii="XO Thames" w:hAnsi="XO Thames"/>
      <w:sz w:val="28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TableText" w:customStyle="1">
    <w:name w:val="Table Text"/>
    <w:link w:val="TableText1"/>
    <w:qFormat/>
    <w:rPr>
      <w:color w:val="000000"/>
      <w:sz w:val="24"/>
      <w:u w:val="none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11" w:customStyle="1">
    <w:name w:val="Абзац списка1"/>
    <w:link w:val="ListParagraph1"/>
    <w:qFormat/>
    <w:rPr>
      <w:color w:val="000000"/>
      <w:sz w:val="22"/>
      <w:u w:val="none"/>
    </w:rPr>
  </w:style>
  <w:style w:type="character" w:styleId="Style14" w:customStyle="1">
    <w:name w:val="Колонтитулы"/>
    <w:link w:val="12"/>
    <w:qFormat/>
    <w:rPr>
      <w:rFonts w:ascii="Helvetica Neue" w:hAnsi="Helvetica Neue"/>
      <w:color w:val="000000"/>
      <w:sz w:val="24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tyle15" w:customStyle="1">
    <w:name w:val="По умолчанию"/>
    <w:link w:val="13"/>
    <w:qFormat/>
    <w:rPr>
      <w:rFonts w:ascii="Helvetica Neue" w:hAnsi="Helvetica Neue"/>
      <w:color w:val="000000"/>
      <w:sz w:val="24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XO Thames" w:hAnsi="XO Thames"/>
      <w:b/>
      <w:sz w:val="28"/>
    </w:rPr>
  </w:style>
  <w:style w:type="character" w:styleId="LineNumber">
    <w:name w:val="line number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0"/>
      <w:kern w:val="0"/>
      <w:sz w:val="20"/>
      <w:szCs w:val="20"/>
      <w:lang w:val="ru-RU" w:eastAsia="zh-CN" w:bidi="hi-IN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Style12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/>
    </w:rPr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0"/>
      <w:kern w:val="0"/>
      <w:sz w:val="20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before="567" w:after="567"/>
      <w:jc w:val="center"/>
    </w:pPr>
    <w:rPr>
      <w:rFonts w:ascii="XO Thames" w:hAnsi="XO Thames" w:eastAsia="Noto Serif CJK SC" w:cs="FreeSans"/>
      <w:b/>
      <w:caps/>
      <w:color w:val="000000"/>
      <w:kern w:val="0"/>
      <w:sz w:val="40"/>
      <w:szCs w:val="20"/>
      <w:lang w:val="ru-RU" w:eastAsia="zh-CN" w:bidi="hi-IN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before="0" w:after="0"/>
      <w:ind w:left="2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ConsPlusNormal1" w:customStyle="1">
    <w:name w:val="ConsPlusNormal1"/>
    <w:link w:val="ConsPlus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0"/>
      <w:kern w:val="0"/>
      <w:sz w:val="24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before="0" w:after="0"/>
      <w:ind w:left="6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before="0" w:after="0"/>
      <w:ind w:left="10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before="0" w:after="0"/>
      <w:ind w:left="12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Endnote1" w:customStyle="1">
    <w:name w:val="Endnote1"/>
    <w:link w:val="End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Noto Serif CJK SC" w:cs="FreeSans"/>
      <w:color w:val="000000"/>
      <w:kern w:val="0"/>
      <w:sz w:val="22"/>
      <w:szCs w:val="20"/>
      <w:lang w:val="ru-RU" w:eastAsia="zh-CN" w:bidi="hi-IN"/>
    </w:rPr>
  </w:style>
  <w:style w:type="paragraph" w:styleId="211" w:customStyle="1">
    <w:name w:val="Стиль таблицы 21"/>
    <w:link w:val="22"/>
    <w:qFormat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Noto Serif CJK SC" w:cs="FreeSans"/>
      <w:color w:val="000000"/>
      <w:kern w:val="0"/>
      <w:sz w:val="20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before="0" w:after="0"/>
      <w:ind w:left="4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Internetlink" w:customStyle="1">
    <w:name w:val="Internet link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0"/>
      <w:kern w:val="0"/>
      <w:sz w:val="20"/>
      <w:szCs w:val="20"/>
      <w:u w:val="single"/>
      <w:lang w:val="ru-RU" w:eastAsia="zh-CN" w:bidi="hi-IN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Noto Serif CJK SC" w:cs="FreeSans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before="0" w:after="0"/>
      <w:jc w:val="left"/>
    </w:pPr>
    <w:rPr>
      <w:rFonts w:ascii="XO Thames" w:hAnsi="XO Thames" w:eastAsia="Noto Serif CJK SC" w:cs="FreeSans"/>
      <w:b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000000"/>
      <w:kern w:val="0"/>
      <w:sz w:val="20"/>
      <w:szCs w:val="20"/>
      <w:lang w:val="ru-RU" w:eastAsia="zh-CN" w:bidi="hi-IN"/>
    </w:rPr>
  </w:style>
  <w:style w:type="paragraph" w:styleId="HeaderandFooter1" w:customStyle="1">
    <w:name w:val="Header and Footer1"/>
    <w:link w:val="HeaderandFooter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before="0" w:after="0"/>
      <w:ind w:left="16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TableText1" w:customStyle="1">
    <w:name w:val="Table Text1"/>
    <w:link w:val="TableText"/>
    <w:qFormat/>
    <w:pPr>
      <w:widowControl/>
      <w:tabs>
        <w:tab w:val="clear" w:pos="708"/>
        <w:tab w:val="left" w:pos="432" w:leader="none"/>
      </w:tabs>
      <w:suppressAutoHyphens w:val="true"/>
      <w:bidi w:val="0"/>
      <w:spacing w:before="0" w:after="240"/>
      <w:jc w:val="left"/>
    </w:pPr>
    <w:rPr>
      <w:rFonts w:ascii="Times New Roman" w:hAnsi="Times New Roman" w:eastAsia="Noto Serif CJK SC" w:cs="FreeSans"/>
      <w:color w:val="000000"/>
      <w:kern w:val="0"/>
      <w:sz w:val="24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before="0" w:after="0"/>
      <w:ind w:left="14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ListParagraph1" w:customStyle="1">
    <w:name w:val="List Paragraph1"/>
    <w:link w:val="11"/>
    <w:qFormat/>
    <w:pPr>
      <w:widowControl w:val="false"/>
      <w:suppressAutoHyphens w:val="true"/>
      <w:bidi w:val="0"/>
      <w:spacing w:before="278" w:after="0"/>
      <w:ind w:firstLine="518" w:left="138"/>
      <w:jc w:val="both"/>
    </w:pPr>
    <w:rPr>
      <w:rFonts w:ascii="Times New Roman" w:hAnsi="Times New Roman" w:eastAsia="Noto Serif CJK SC" w:cs="FreeSans"/>
      <w:color w:val="000000"/>
      <w:kern w:val="0"/>
      <w:sz w:val="22"/>
      <w:szCs w:val="20"/>
      <w:lang w:val="ru-RU" w:eastAsia="zh-CN" w:bidi="hi-IN"/>
    </w:rPr>
  </w:style>
  <w:style w:type="paragraph" w:styleId="12" w:customStyle="1">
    <w:name w:val="Колонтитулы1"/>
    <w:link w:val="Style14"/>
    <w:qFormat/>
    <w:pPr>
      <w:widowControl/>
      <w:tabs>
        <w:tab w:val="clear" w:pos="708"/>
        <w:tab w:val="right" w:pos="9020" w:leader="none"/>
      </w:tabs>
      <w:suppressAutoHyphens w:val="true"/>
      <w:bidi w:val="0"/>
      <w:spacing w:before="0" w:after="0"/>
      <w:jc w:val="left"/>
    </w:pPr>
    <w:rPr>
      <w:rFonts w:ascii="Helvetica Neue" w:hAnsi="Helvetica Neue" w:eastAsia="Noto Serif CJK SC" w:cs="FreeSans"/>
      <w:color w:val="000000"/>
      <w:kern w:val="0"/>
      <w:sz w:val="24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before="0" w:after="0"/>
      <w:ind w:left="800"/>
      <w:jc w:val="left"/>
    </w:pPr>
    <w:rPr>
      <w:rFonts w:ascii="XO Thames" w:hAnsi="XO Thames" w:eastAsia="Noto Serif CJK SC" w:cs="FreeSans"/>
      <w:color w:val="000000"/>
      <w:kern w:val="0"/>
      <w:sz w:val="28"/>
      <w:szCs w:val="20"/>
      <w:lang w:val="ru-RU" w:eastAsia="zh-CN" w:bidi="hi-IN"/>
    </w:rPr>
  </w:style>
  <w:style w:type="paragraph" w:styleId="13" w:customStyle="1">
    <w:name w:val="По умолчанию1"/>
    <w:link w:val="Style15"/>
    <w:qFormat/>
    <w:pPr>
      <w:widowControl/>
      <w:suppressAutoHyphens w:val="true"/>
      <w:bidi w:val="0"/>
      <w:spacing w:lineRule="auto" w:line="288" w:before="160" w:after="0"/>
      <w:jc w:val="left"/>
    </w:pPr>
    <w:rPr>
      <w:rFonts w:ascii="Helvetica Neue" w:hAnsi="Helvetica Neue" w:eastAsia="Noto Serif CJK SC" w:cs="FreeSans"/>
      <w:color w:val="000000"/>
      <w:kern w:val="0"/>
      <w:sz w:val="24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Noto Serif CJK SC" w:cs="FreeSans"/>
      <w:i/>
      <w:color w:val="000000"/>
      <w:kern w:val="0"/>
      <w:sz w:val="24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">
    <w:name w:val="header"/>
    <w:basedOn w:val="HeaderandFooter1"/>
    <w:link w:val="Style8"/>
    <w:pPr/>
    <w:rPr/>
  </w:style>
  <w:style w:type="paragraph" w:styleId="Footer">
    <w:name w:val="footer"/>
    <w:basedOn w:val="HeaderandFooter1"/>
    <w:link w:val="Style9"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CCCEA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CCCEA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5AFDD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5AFDD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DA9D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8DA9D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eastAsia="ru-RU" w:bidi="ar-SA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Arial" pitchFamily="0" charset="1"/>
        <a:cs typeface="Arial" pitchFamily="0" charset="1"/>
      </a:majorFont>
      <a:minorFont>
        <a:latin typeface="Helvetica Neue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LibreOffice/24.8.4.2$Linux_X86_64 LibreOffice_project/480$Build-2</Application>
  <AppVersion>15.0000</AppVersion>
  <Pages>9</Pages>
  <Words>1160</Words>
  <Characters>8227</Characters>
  <CharactersWithSpaces>9136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2025-08-14T08:39:00Z</dcterms:created>
  <dc:creator>Харитонова Галина Львовна</dc:creator>
  <dc:description/>
  <dc:language>ru-RU</dc:language>
  <cp:lastModifiedBy/>
  <dcterms:modified xsi:type="dcterms:W3CDTF">2025-08-15T11:53:05Z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