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BF30" w14:textId="2A6E8904" w:rsidR="00040543" w:rsidRDefault="0029721A" w:rsidP="00B2568D">
      <w:pPr>
        <w:pStyle w:val="Heading1"/>
        <w:spacing w:before="0" w:line="360" w:lineRule="auto"/>
        <w:rPr>
          <w:lang w:val="pt-PT"/>
        </w:rPr>
      </w:pPr>
      <w:r>
        <w:rPr>
          <w:lang w:val="pt-PT"/>
        </w:rPr>
        <w:t>Com que frequência são as bases de dados atualizadas?</w:t>
      </w:r>
    </w:p>
    <w:p w14:paraId="6D8B1A9E" w14:textId="0C891A22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02BC5236" w14:textId="50D6E388" w:rsidR="0029721A" w:rsidRDefault="00B2568D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Na página principal do </w:t>
      </w:r>
      <w:proofErr w:type="spellStart"/>
      <w:r>
        <w:rPr>
          <w:rFonts w:ascii="Garamond" w:hAnsi="Garamond"/>
          <w:sz w:val="24"/>
          <w:szCs w:val="24"/>
          <w:lang w:val="pt-PT"/>
        </w:rPr>
        <w:t>BPstat</w:t>
      </w:r>
      <w:proofErr w:type="spellEnd"/>
      <w:r>
        <w:rPr>
          <w:rFonts w:ascii="Garamond" w:hAnsi="Garamond"/>
          <w:sz w:val="24"/>
          <w:szCs w:val="24"/>
          <w:lang w:val="pt-PT"/>
        </w:rPr>
        <w:t>, encontra-se uma subseção</w:t>
      </w:r>
      <w:r w:rsidR="00DA0740">
        <w:rPr>
          <w:rFonts w:ascii="Garamond" w:hAnsi="Garamond"/>
          <w:sz w:val="24"/>
          <w:szCs w:val="24"/>
          <w:lang w:val="pt-PT"/>
        </w:rPr>
        <w:t xml:space="preserve"> já no princípio do sítio</w:t>
      </w:r>
      <w:r>
        <w:rPr>
          <w:rFonts w:ascii="Garamond" w:hAnsi="Garamond"/>
          <w:sz w:val="24"/>
          <w:szCs w:val="24"/>
          <w:lang w:val="pt-PT"/>
        </w:rPr>
        <w:t xml:space="preserve"> com alguns dos principais dados económicos extraídos pelos mantenedores da base de dados, como a taxa de variação mensal da inflação</w:t>
      </w:r>
      <w:r w:rsidR="00187C4B">
        <w:rPr>
          <w:rFonts w:ascii="Garamond" w:hAnsi="Garamond"/>
          <w:sz w:val="24"/>
          <w:szCs w:val="24"/>
          <w:lang w:val="pt-PT"/>
        </w:rPr>
        <w:t xml:space="preserve"> pelo índice harmonizado de preços no consumidor</w:t>
      </w:r>
      <w:r>
        <w:rPr>
          <w:rFonts w:ascii="Garamond" w:hAnsi="Garamond"/>
          <w:sz w:val="24"/>
          <w:szCs w:val="24"/>
          <w:lang w:val="pt-PT"/>
        </w:rPr>
        <w:t>, dívida pública em percentagem do Produto Interno Bruto e saldo das balanças corrente e de capital em dimensão trimestral, e o saldo anual em percentagem do PIB das administrações públicas em Portugal</w:t>
      </w:r>
      <w:r w:rsidR="00DA0740">
        <w:rPr>
          <w:rFonts w:ascii="Garamond" w:hAnsi="Garamond"/>
          <w:sz w:val="24"/>
          <w:szCs w:val="24"/>
          <w:lang w:val="pt-PT"/>
        </w:rPr>
        <w:t>.</w:t>
      </w:r>
    </w:p>
    <w:p w14:paraId="7CD45EA3" w14:textId="71B9FC34" w:rsidR="00DA0740" w:rsidRPr="00B2568D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noProof/>
          <w:sz w:val="24"/>
          <w:szCs w:val="24"/>
          <w:lang w:val="pt-PT"/>
        </w:rPr>
        <w:drawing>
          <wp:inline distT="0" distB="0" distL="0" distR="0" wp14:anchorId="070D3F1F" wp14:editId="1D24D814">
            <wp:extent cx="540004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E96" w14:textId="4BB441D5" w:rsidR="0029721A" w:rsidRPr="00187C4B" w:rsidRDefault="00DA0740" w:rsidP="00187C4B">
      <w:pPr>
        <w:spacing w:line="360" w:lineRule="auto"/>
        <w:jc w:val="right"/>
        <w:rPr>
          <w:rFonts w:ascii="Garamond" w:hAnsi="Garamond"/>
          <w:szCs w:val="18"/>
          <w:lang w:val="pt-PT"/>
        </w:rPr>
      </w:pPr>
      <w:r w:rsidRPr="00187C4B">
        <w:rPr>
          <w:rFonts w:ascii="Garamond" w:hAnsi="Garamond"/>
          <w:szCs w:val="18"/>
          <w:lang w:val="pt-PT"/>
        </w:rPr>
        <w:t xml:space="preserve">Fonte: </w:t>
      </w:r>
      <w:proofErr w:type="spellStart"/>
      <w:r w:rsidRPr="00187C4B">
        <w:rPr>
          <w:rFonts w:ascii="Garamond" w:hAnsi="Garamond"/>
          <w:szCs w:val="18"/>
          <w:lang w:val="pt-PT"/>
        </w:rPr>
        <w:t>BPstat</w:t>
      </w:r>
      <w:proofErr w:type="spellEnd"/>
    </w:p>
    <w:p w14:paraId="5D4E6AE8" w14:textId="483F66CE" w:rsidR="00DA0740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No mesmo sítio, existe a seção “Próximas atualizações” e a possibilidade de aceder ao calendário das atualizações das várias estatísticas que fazem parte da base de dados do </w:t>
      </w:r>
      <w:proofErr w:type="spellStart"/>
      <w:r>
        <w:rPr>
          <w:rFonts w:ascii="Garamond" w:hAnsi="Garamond"/>
          <w:sz w:val="24"/>
          <w:szCs w:val="24"/>
          <w:lang w:val="pt-PT"/>
        </w:rPr>
        <w:t>BPstat</w:t>
      </w:r>
      <w:proofErr w:type="spellEnd"/>
      <w:r>
        <w:rPr>
          <w:rFonts w:ascii="Garamond" w:hAnsi="Garamond"/>
          <w:sz w:val="24"/>
          <w:szCs w:val="24"/>
          <w:lang w:val="pt-PT"/>
        </w:rPr>
        <w:t>.</w:t>
      </w:r>
      <w:r w:rsidR="00A80901">
        <w:rPr>
          <w:rFonts w:ascii="Garamond" w:hAnsi="Garamond"/>
          <w:sz w:val="24"/>
          <w:szCs w:val="24"/>
          <w:lang w:val="pt-PT"/>
        </w:rPr>
        <w:t xml:space="preserve"> (</w:t>
      </w:r>
      <w:proofErr w:type="spellStart"/>
      <w:r w:rsidR="00A80901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A80901">
        <w:rPr>
          <w:rFonts w:ascii="Garamond" w:hAnsi="Garamond"/>
          <w:sz w:val="24"/>
          <w:szCs w:val="24"/>
          <w:lang w:val="pt-PT"/>
        </w:rPr>
        <w:t>, 2020)</w:t>
      </w:r>
    </w:p>
    <w:p w14:paraId="61B905B9" w14:textId="10038A76" w:rsidR="00DA0740" w:rsidRPr="00B2568D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noProof/>
          <w:sz w:val="24"/>
          <w:szCs w:val="24"/>
          <w:lang w:val="pt-PT"/>
        </w:rPr>
        <w:drawing>
          <wp:inline distT="0" distB="0" distL="0" distR="0" wp14:anchorId="72E388D6" wp14:editId="31E12818">
            <wp:extent cx="3757145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64" cy="33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171" w14:textId="35267468" w:rsidR="0029721A" w:rsidRPr="00187C4B" w:rsidRDefault="00DA0740" w:rsidP="00187C4B">
      <w:pPr>
        <w:spacing w:line="360" w:lineRule="auto"/>
        <w:jc w:val="center"/>
        <w:rPr>
          <w:rFonts w:ascii="Garamond" w:hAnsi="Garamond"/>
          <w:szCs w:val="18"/>
          <w:lang w:val="pt-PT"/>
        </w:rPr>
      </w:pPr>
      <w:r w:rsidRPr="00187C4B">
        <w:rPr>
          <w:rFonts w:ascii="Garamond" w:hAnsi="Garamond"/>
          <w:szCs w:val="18"/>
          <w:lang w:val="pt-PT"/>
        </w:rPr>
        <w:t xml:space="preserve">Fonte: </w:t>
      </w:r>
      <w:proofErr w:type="spellStart"/>
      <w:r w:rsidRPr="00187C4B">
        <w:rPr>
          <w:rFonts w:ascii="Garamond" w:hAnsi="Garamond"/>
          <w:szCs w:val="18"/>
          <w:lang w:val="pt-PT"/>
        </w:rPr>
        <w:t>BPstat</w:t>
      </w:r>
      <w:proofErr w:type="spellEnd"/>
    </w:p>
    <w:p w14:paraId="198E6945" w14:textId="116FEC3C" w:rsidR="00DA0740" w:rsidRPr="00187C4B" w:rsidRDefault="00DA0740" w:rsidP="00B2568D">
      <w:pPr>
        <w:spacing w:line="360" w:lineRule="auto"/>
        <w:rPr>
          <w:rFonts w:ascii="Garamond" w:hAnsi="Garamond"/>
          <w:b/>
          <w:bCs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lastRenderedPageBreak/>
        <w:t>Verifica-se no calendário que as frequências de atualização da base de dados são diária, semanal, mensal, trimestral</w:t>
      </w:r>
      <w:r w:rsidR="00187C4B">
        <w:rPr>
          <w:rFonts w:ascii="Garamond" w:hAnsi="Garamond"/>
          <w:sz w:val="24"/>
          <w:szCs w:val="24"/>
          <w:lang w:val="pt-PT"/>
        </w:rPr>
        <w:t>, semestral</w:t>
      </w:r>
      <w:r>
        <w:rPr>
          <w:rFonts w:ascii="Garamond" w:hAnsi="Garamond"/>
          <w:sz w:val="24"/>
          <w:szCs w:val="24"/>
          <w:lang w:val="pt-PT"/>
        </w:rPr>
        <w:t xml:space="preserve"> e anual. As estatísticas atualizadas diariamente são as </w:t>
      </w:r>
      <w:r w:rsidR="00501240">
        <w:rPr>
          <w:rFonts w:ascii="Garamond" w:hAnsi="Garamond"/>
          <w:sz w:val="24"/>
          <w:szCs w:val="24"/>
          <w:lang w:val="pt-PT"/>
        </w:rPr>
        <w:t>T</w:t>
      </w:r>
      <w:r>
        <w:rPr>
          <w:rFonts w:ascii="Garamond" w:hAnsi="Garamond"/>
          <w:sz w:val="24"/>
          <w:szCs w:val="24"/>
          <w:lang w:val="pt-PT"/>
        </w:rPr>
        <w:t xml:space="preserve">axas de câmbio, e </w:t>
      </w:r>
      <w:r w:rsidR="00501240">
        <w:rPr>
          <w:rFonts w:ascii="Garamond" w:hAnsi="Garamond"/>
          <w:sz w:val="24"/>
          <w:szCs w:val="24"/>
          <w:lang w:val="pt-PT"/>
        </w:rPr>
        <w:t>I</w:t>
      </w:r>
      <w:r>
        <w:rPr>
          <w:rFonts w:ascii="Garamond" w:hAnsi="Garamond"/>
          <w:sz w:val="24"/>
          <w:szCs w:val="24"/>
          <w:lang w:val="pt-PT"/>
        </w:rPr>
        <w:t xml:space="preserve">nformações do mercado monetário. Semanalmente são divulgados um dos indicadores de estabilidade financeira, o </w:t>
      </w:r>
      <w:r w:rsidR="00501240">
        <w:rPr>
          <w:rFonts w:ascii="Garamond" w:hAnsi="Garamond"/>
          <w:sz w:val="24"/>
          <w:szCs w:val="24"/>
          <w:lang w:val="pt-PT"/>
        </w:rPr>
        <w:t>I</w:t>
      </w:r>
      <w:r>
        <w:rPr>
          <w:rFonts w:ascii="Garamond" w:hAnsi="Garamond"/>
          <w:sz w:val="24"/>
          <w:szCs w:val="24"/>
          <w:lang w:val="pt-PT"/>
        </w:rPr>
        <w:t xml:space="preserve">ndicador compósito de stress financeiro, e </w:t>
      </w:r>
      <w:r>
        <w:rPr>
          <w:rFonts w:ascii="Garamond" w:hAnsi="Garamond"/>
          <w:sz w:val="24"/>
          <w:szCs w:val="24"/>
          <w:lang w:val="pt-PT"/>
        </w:rPr>
        <w:t xml:space="preserve">informações </w:t>
      </w:r>
      <w:r w:rsidR="00187C4B">
        <w:rPr>
          <w:rFonts w:ascii="Garamond" w:hAnsi="Garamond"/>
          <w:sz w:val="24"/>
          <w:szCs w:val="24"/>
          <w:lang w:val="pt-PT"/>
        </w:rPr>
        <w:t xml:space="preserve">sobre o índice de cotações de ações e as </w:t>
      </w:r>
      <w:r w:rsidR="00187C4B" w:rsidRPr="00187C4B">
        <w:rPr>
          <w:rFonts w:ascii="Garamond" w:hAnsi="Garamond"/>
          <w:sz w:val="24"/>
          <w:szCs w:val="24"/>
          <w:lang w:val="pt-PT"/>
        </w:rPr>
        <w:t>t</w:t>
      </w:r>
      <w:r w:rsidR="00187C4B" w:rsidRPr="00187C4B">
        <w:rPr>
          <w:rFonts w:ascii="Garamond" w:hAnsi="Garamond"/>
          <w:sz w:val="24"/>
          <w:szCs w:val="24"/>
          <w:lang w:val="pt-PT"/>
        </w:rPr>
        <w:t>axas de rendibilidade de obrigações do tesouro</w:t>
      </w:r>
      <w:r w:rsidR="00187C4B">
        <w:rPr>
          <w:rFonts w:ascii="Garamond" w:hAnsi="Garamond"/>
          <w:b/>
          <w:bCs/>
          <w:sz w:val="24"/>
          <w:szCs w:val="24"/>
          <w:lang w:val="pt-PT"/>
        </w:rPr>
        <w:t xml:space="preserve"> </w:t>
      </w:r>
      <w:r w:rsidR="00187C4B">
        <w:rPr>
          <w:rFonts w:ascii="Garamond" w:hAnsi="Garamond"/>
          <w:sz w:val="24"/>
          <w:szCs w:val="24"/>
          <w:lang w:val="pt-PT"/>
        </w:rPr>
        <w:t xml:space="preserve">do </w:t>
      </w:r>
      <w:r>
        <w:rPr>
          <w:rFonts w:ascii="Garamond" w:hAnsi="Garamond"/>
          <w:sz w:val="24"/>
          <w:szCs w:val="24"/>
          <w:lang w:val="pt-PT"/>
        </w:rPr>
        <w:t>mercado secundário</w:t>
      </w:r>
      <w:r>
        <w:rPr>
          <w:rFonts w:ascii="Garamond" w:hAnsi="Garamond"/>
          <w:sz w:val="24"/>
          <w:szCs w:val="24"/>
          <w:lang w:val="pt-PT"/>
        </w:rPr>
        <w:t>, no primeiro dia útil da semana e no primeiro dia útil do mês.</w:t>
      </w:r>
    </w:p>
    <w:p w14:paraId="0D8842F3" w14:textId="2CD9C46A" w:rsidR="00DA0740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Entre as estatísticas atualizadas mensalmente, destacam-se </w:t>
      </w:r>
      <w:r w:rsidR="00187C4B">
        <w:rPr>
          <w:rFonts w:ascii="Garamond" w:hAnsi="Garamond"/>
          <w:sz w:val="24"/>
          <w:szCs w:val="24"/>
          <w:lang w:val="pt-PT"/>
        </w:rPr>
        <w:t xml:space="preserve">as </w:t>
      </w:r>
      <w:r w:rsidR="00501240">
        <w:rPr>
          <w:rFonts w:ascii="Garamond" w:hAnsi="Garamond"/>
          <w:sz w:val="24"/>
          <w:szCs w:val="24"/>
          <w:lang w:val="pt-PT"/>
        </w:rPr>
        <w:t>T</w:t>
      </w:r>
      <w:r w:rsidR="00187C4B">
        <w:rPr>
          <w:rFonts w:ascii="Garamond" w:hAnsi="Garamond"/>
          <w:sz w:val="24"/>
          <w:szCs w:val="24"/>
          <w:lang w:val="pt-PT"/>
        </w:rPr>
        <w:t xml:space="preserve">axas de juro, a </w:t>
      </w:r>
      <w:r w:rsidR="00501240">
        <w:rPr>
          <w:rFonts w:ascii="Garamond" w:hAnsi="Garamond"/>
          <w:sz w:val="24"/>
          <w:szCs w:val="24"/>
          <w:lang w:val="pt-PT"/>
        </w:rPr>
        <w:t>B</w:t>
      </w:r>
      <w:r w:rsidR="00187C4B">
        <w:rPr>
          <w:rFonts w:ascii="Garamond" w:hAnsi="Garamond"/>
          <w:sz w:val="24"/>
          <w:szCs w:val="24"/>
          <w:lang w:val="pt-PT"/>
        </w:rPr>
        <w:t xml:space="preserve">alança de pagamentos (que também conta com divulgações trimestrais e anuais) e o </w:t>
      </w:r>
      <w:r w:rsidR="00501240">
        <w:rPr>
          <w:rFonts w:ascii="Garamond" w:hAnsi="Garamond"/>
          <w:sz w:val="24"/>
          <w:szCs w:val="24"/>
          <w:lang w:val="pt-PT"/>
        </w:rPr>
        <w:t>Í</w:t>
      </w:r>
      <w:r w:rsidR="00187C4B">
        <w:rPr>
          <w:rFonts w:ascii="Garamond" w:hAnsi="Garamond"/>
          <w:sz w:val="24"/>
          <w:szCs w:val="24"/>
          <w:lang w:val="pt-PT"/>
        </w:rPr>
        <w:t xml:space="preserve">ndice de preços no consumidor. Estatísticas trimestrais importantes são o </w:t>
      </w:r>
      <w:r w:rsidR="00501240">
        <w:rPr>
          <w:rFonts w:ascii="Garamond" w:hAnsi="Garamond"/>
          <w:sz w:val="24"/>
          <w:szCs w:val="24"/>
          <w:lang w:val="pt-PT"/>
        </w:rPr>
        <w:t>E</w:t>
      </w:r>
      <w:r w:rsidR="00187C4B">
        <w:rPr>
          <w:rFonts w:ascii="Garamond" w:hAnsi="Garamond"/>
          <w:sz w:val="24"/>
          <w:szCs w:val="24"/>
          <w:lang w:val="pt-PT"/>
        </w:rPr>
        <w:t xml:space="preserve">ndividamento do setor não financeiro, as </w:t>
      </w:r>
      <w:r w:rsidR="00501240">
        <w:rPr>
          <w:rFonts w:ascii="Garamond" w:hAnsi="Garamond"/>
          <w:sz w:val="24"/>
          <w:szCs w:val="24"/>
          <w:lang w:val="pt-PT"/>
        </w:rPr>
        <w:t>C</w:t>
      </w:r>
      <w:r w:rsidR="00187C4B">
        <w:rPr>
          <w:rFonts w:ascii="Garamond" w:hAnsi="Garamond"/>
          <w:sz w:val="24"/>
          <w:szCs w:val="24"/>
          <w:lang w:val="pt-PT"/>
        </w:rPr>
        <w:t xml:space="preserve">ontas financeiras da administração pública e o PIB sob a ótica da despesa. Anualmente, o </w:t>
      </w:r>
      <w:proofErr w:type="spellStart"/>
      <w:r w:rsidR="00187C4B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187C4B">
        <w:rPr>
          <w:rFonts w:ascii="Garamond" w:hAnsi="Garamond"/>
          <w:sz w:val="24"/>
          <w:szCs w:val="24"/>
          <w:lang w:val="pt-PT"/>
        </w:rPr>
        <w:t xml:space="preserve"> divulga informações como a </w:t>
      </w:r>
      <w:r w:rsidR="00501240">
        <w:rPr>
          <w:rFonts w:ascii="Garamond" w:hAnsi="Garamond"/>
          <w:sz w:val="24"/>
          <w:szCs w:val="24"/>
          <w:lang w:val="pt-PT"/>
        </w:rPr>
        <w:t>E</w:t>
      </w:r>
      <w:r w:rsidR="00187C4B">
        <w:rPr>
          <w:rFonts w:ascii="Garamond" w:hAnsi="Garamond"/>
          <w:sz w:val="24"/>
          <w:szCs w:val="24"/>
          <w:lang w:val="pt-PT"/>
        </w:rPr>
        <w:t xml:space="preserve">missão de títulos, os </w:t>
      </w:r>
      <w:r w:rsidR="00501240">
        <w:rPr>
          <w:rFonts w:ascii="Garamond" w:hAnsi="Garamond"/>
          <w:sz w:val="24"/>
          <w:szCs w:val="24"/>
          <w:lang w:val="pt-PT"/>
        </w:rPr>
        <w:t>I</w:t>
      </w:r>
      <w:r w:rsidR="00187C4B" w:rsidRPr="00187C4B">
        <w:rPr>
          <w:rFonts w:ascii="Garamond" w:hAnsi="Garamond"/>
          <w:sz w:val="24"/>
          <w:szCs w:val="24"/>
          <w:lang w:val="pt-PT"/>
        </w:rPr>
        <w:t>ndicadores económico-financeiros das empresas não financeiras privadas</w:t>
      </w:r>
      <w:r w:rsidR="00187C4B">
        <w:rPr>
          <w:rFonts w:ascii="Garamond" w:hAnsi="Garamond"/>
          <w:sz w:val="24"/>
          <w:szCs w:val="24"/>
          <w:lang w:val="pt-PT"/>
        </w:rPr>
        <w:t xml:space="preserve">, e a </w:t>
      </w:r>
      <w:r w:rsidR="00501240">
        <w:rPr>
          <w:rFonts w:ascii="Garamond" w:hAnsi="Garamond"/>
          <w:sz w:val="24"/>
          <w:szCs w:val="24"/>
          <w:lang w:val="pt-PT"/>
        </w:rPr>
        <w:t>E</w:t>
      </w:r>
      <w:r w:rsidR="00187C4B">
        <w:rPr>
          <w:rFonts w:ascii="Garamond" w:hAnsi="Garamond"/>
          <w:sz w:val="24"/>
          <w:szCs w:val="24"/>
          <w:lang w:val="pt-PT"/>
        </w:rPr>
        <w:t>missão monetária (que também tem atualizações mensais e semestrais).</w:t>
      </w:r>
      <w:r w:rsidR="00A80901">
        <w:rPr>
          <w:rFonts w:ascii="Garamond" w:hAnsi="Garamond"/>
          <w:sz w:val="24"/>
          <w:szCs w:val="24"/>
          <w:lang w:val="pt-PT"/>
        </w:rPr>
        <w:t xml:space="preserve"> (</w:t>
      </w:r>
      <w:proofErr w:type="spellStart"/>
      <w:r w:rsidR="00A80901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A80901">
        <w:rPr>
          <w:rFonts w:ascii="Garamond" w:hAnsi="Garamond"/>
          <w:sz w:val="24"/>
          <w:szCs w:val="24"/>
          <w:lang w:val="pt-PT"/>
        </w:rPr>
        <w:t>, 2020)</w:t>
      </w:r>
    </w:p>
    <w:p w14:paraId="68EA3DD2" w14:textId="77777777" w:rsidR="00DA0740" w:rsidRPr="00B2568D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2C25AA36" w14:textId="758C7446" w:rsidR="0029721A" w:rsidRDefault="0029721A" w:rsidP="00B2568D">
      <w:pPr>
        <w:pStyle w:val="Heading1"/>
        <w:spacing w:before="0" w:line="360" w:lineRule="auto"/>
        <w:rPr>
          <w:lang w:val="pt-PT"/>
        </w:rPr>
      </w:pPr>
      <w:r>
        <w:rPr>
          <w:lang w:val="pt-PT"/>
        </w:rPr>
        <w:t xml:space="preserve">Existem </w:t>
      </w:r>
      <w:proofErr w:type="spellStart"/>
      <w:r>
        <w:rPr>
          <w:lang w:val="pt-PT"/>
        </w:rPr>
        <w:t>metadados</w:t>
      </w:r>
      <w:proofErr w:type="spellEnd"/>
      <w:r>
        <w:rPr>
          <w:lang w:val="pt-PT"/>
        </w:rPr>
        <w:t xml:space="preserve"> e documentação disponíveis?</w:t>
      </w:r>
    </w:p>
    <w:p w14:paraId="6A27152B" w14:textId="7863F034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2D02F613" w14:textId="1333D123" w:rsidR="0029721A" w:rsidRDefault="00CE7898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A partir da página principal do </w:t>
      </w:r>
      <w:proofErr w:type="spellStart"/>
      <w:r>
        <w:rPr>
          <w:rFonts w:ascii="Garamond" w:hAnsi="Garamond"/>
          <w:sz w:val="24"/>
          <w:szCs w:val="24"/>
          <w:lang w:val="pt-PT"/>
        </w:rPr>
        <w:t>BPstat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, é possível aceder aos </w:t>
      </w:r>
      <w:proofErr w:type="spellStart"/>
      <w:r>
        <w:rPr>
          <w:rFonts w:ascii="Garamond" w:hAnsi="Garamond"/>
          <w:sz w:val="24"/>
          <w:szCs w:val="24"/>
          <w:lang w:val="pt-PT"/>
        </w:rPr>
        <w:t>metadados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 e a documentação de boa parte das estatísticas divulgadas pelo sistema a partir </w:t>
      </w:r>
      <w:r w:rsidR="00B46D30">
        <w:rPr>
          <w:rFonts w:ascii="Garamond" w:hAnsi="Garamond"/>
          <w:sz w:val="24"/>
          <w:szCs w:val="24"/>
          <w:lang w:val="pt-PT"/>
        </w:rPr>
        <w:t>da barra superior, em “</w:t>
      </w:r>
      <w:proofErr w:type="spellStart"/>
      <w:r w:rsidR="00B46D30">
        <w:rPr>
          <w:rFonts w:ascii="Garamond" w:hAnsi="Garamond"/>
          <w:sz w:val="24"/>
          <w:szCs w:val="24"/>
          <w:lang w:val="pt-PT"/>
        </w:rPr>
        <w:t>Metainformação</w:t>
      </w:r>
      <w:proofErr w:type="spellEnd"/>
      <w:r w:rsidR="00B46D30">
        <w:rPr>
          <w:rFonts w:ascii="Garamond" w:hAnsi="Garamond"/>
          <w:sz w:val="24"/>
          <w:szCs w:val="24"/>
          <w:lang w:val="pt-PT"/>
        </w:rPr>
        <w:t>”, e posteriormente com o clique em “Documentação metodológica”.</w:t>
      </w:r>
    </w:p>
    <w:p w14:paraId="45EAE8C8" w14:textId="3FC8E95A" w:rsidR="00B46D30" w:rsidRDefault="00B46D3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noProof/>
          <w:sz w:val="24"/>
          <w:szCs w:val="24"/>
          <w:lang w:val="pt-PT"/>
        </w:rPr>
        <w:drawing>
          <wp:inline distT="0" distB="0" distL="0" distR="0" wp14:anchorId="19ACF984" wp14:editId="0A6B11A9">
            <wp:extent cx="5400040" cy="1330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F72" w14:textId="712B3AB5" w:rsidR="00B46D30" w:rsidRPr="00B46D30" w:rsidRDefault="00B46D30" w:rsidP="00B46D30">
      <w:pPr>
        <w:spacing w:line="360" w:lineRule="auto"/>
        <w:jc w:val="right"/>
        <w:rPr>
          <w:rFonts w:ascii="Garamond" w:hAnsi="Garamond"/>
          <w:szCs w:val="18"/>
          <w:lang w:val="pt-PT"/>
        </w:rPr>
      </w:pPr>
      <w:r w:rsidRPr="00B46D30">
        <w:rPr>
          <w:rFonts w:ascii="Garamond" w:hAnsi="Garamond"/>
          <w:szCs w:val="18"/>
          <w:lang w:val="pt-PT"/>
        </w:rPr>
        <w:t xml:space="preserve">Fonte: </w:t>
      </w:r>
      <w:proofErr w:type="spellStart"/>
      <w:r w:rsidRPr="00B46D30">
        <w:rPr>
          <w:rFonts w:ascii="Garamond" w:hAnsi="Garamond"/>
          <w:szCs w:val="18"/>
          <w:lang w:val="pt-PT"/>
        </w:rPr>
        <w:t>BPstat</w:t>
      </w:r>
      <w:proofErr w:type="spellEnd"/>
    </w:p>
    <w:p w14:paraId="5306B40B" w14:textId="1E5E3286" w:rsidR="0029721A" w:rsidRDefault="00B46D3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Na seção “Documentação metodológica”, existe uma “árvore” de informações metodológicas, e também informações legislativas, de nomenclaturas e manuais, com suplementos e </w:t>
      </w:r>
      <w:proofErr w:type="spellStart"/>
      <w:r>
        <w:rPr>
          <w:rFonts w:ascii="Garamond" w:hAnsi="Garamond"/>
          <w:sz w:val="24"/>
          <w:szCs w:val="24"/>
          <w:lang w:val="pt-PT"/>
        </w:rPr>
        <w:t>papers</w:t>
      </w:r>
      <w:proofErr w:type="spellEnd"/>
      <w:r>
        <w:rPr>
          <w:rFonts w:ascii="Garamond" w:hAnsi="Garamond"/>
          <w:sz w:val="24"/>
          <w:szCs w:val="24"/>
          <w:lang w:val="pt-PT"/>
        </w:rPr>
        <w:t>/artigos (quando estes se aplicam) sobre cada um dos subdomínios disponíveis</w:t>
      </w:r>
      <w:r w:rsidR="0093477F">
        <w:rPr>
          <w:rFonts w:ascii="Garamond" w:hAnsi="Garamond"/>
          <w:sz w:val="24"/>
          <w:szCs w:val="24"/>
          <w:lang w:val="pt-PT"/>
        </w:rPr>
        <w:t xml:space="preserve"> na base de dados.</w:t>
      </w:r>
    </w:p>
    <w:p w14:paraId="084E77FC" w14:textId="5B6FA82E" w:rsidR="0093477F" w:rsidRDefault="0093477F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lastRenderedPageBreak/>
        <w:t xml:space="preserve">Estes subdomínios encontram-se abaixo de 17 domínios principais. Estes são: </w:t>
      </w:r>
      <w:r w:rsidR="00501240">
        <w:rPr>
          <w:rFonts w:ascii="Garamond" w:hAnsi="Garamond"/>
          <w:sz w:val="24"/>
          <w:szCs w:val="24"/>
          <w:lang w:val="pt-PT"/>
        </w:rPr>
        <w:t>M</w:t>
      </w:r>
      <w:r>
        <w:rPr>
          <w:rFonts w:ascii="Garamond" w:hAnsi="Garamond"/>
          <w:sz w:val="24"/>
          <w:szCs w:val="24"/>
          <w:lang w:val="pt-PT"/>
        </w:rPr>
        <w:t xml:space="preserve">onetárias e financeiras, </w:t>
      </w:r>
      <w:r w:rsidR="00501240">
        <w:rPr>
          <w:rFonts w:ascii="Garamond" w:hAnsi="Garamond"/>
          <w:sz w:val="24"/>
          <w:szCs w:val="24"/>
          <w:lang w:val="pt-PT"/>
        </w:rPr>
        <w:t>P</w:t>
      </w:r>
      <w:r>
        <w:rPr>
          <w:rFonts w:ascii="Garamond" w:hAnsi="Garamond"/>
          <w:sz w:val="24"/>
          <w:szCs w:val="24"/>
          <w:lang w:val="pt-PT"/>
        </w:rPr>
        <w:t xml:space="preserve">olítica monetária, </w:t>
      </w:r>
      <w:r w:rsidR="00501240">
        <w:rPr>
          <w:rFonts w:ascii="Garamond" w:hAnsi="Garamond"/>
          <w:sz w:val="24"/>
          <w:szCs w:val="24"/>
          <w:lang w:val="pt-PT"/>
        </w:rPr>
        <w:t>I</w:t>
      </w:r>
      <w:r>
        <w:rPr>
          <w:rFonts w:ascii="Garamond" w:hAnsi="Garamond"/>
          <w:sz w:val="24"/>
          <w:szCs w:val="24"/>
          <w:lang w:val="pt-PT"/>
        </w:rPr>
        <w:t xml:space="preserve">nformação sobre o sistema bancário, </w:t>
      </w:r>
      <w:r w:rsidR="00501240">
        <w:rPr>
          <w:rFonts w:ascii="Garamond" w:hAnsi="Garamond"/>
          <w:sz w:val="24"/>
          <w:szCs w:val="24"/>
          <w:lang w:val="pt-PT"/>
        </w:rPr>
        <w:t>T</w:t>
      </w:r>
      <w:r>
        <w:rPr>
          <w:rFonts w:ascii="Garamond" w:hAnsi="Garamond"/>
          <w:sz w:val="24"/>
          <w:szCs w:val="24"/>
          <w:lang w:val="pt-PT"/>
        </w:rPr>
        <w:t xml:space="preserve">ítulos, </w:t>
      </w:r>
      <w:r w:rsidR="00501240">
        <w:rPr>
          <w:rFonts w:ascii="Garamond" w:hAnsi="Garamond"/>
          <w:sz w:val="24"/>
          <w:szCs w:val="24"/>
          <w:lang w:val="pt-PT"/>
        </w:rPr>
        <w:t>E</w:t>
      </w:r>
      <w:r>
        <w:rPr>
          <w:rFonts w:ascii="Garamond" w:hAnsi="Garamond"/>
          <w:sz w:val="24"/>
          <w:szCs w:val="24"/>
          <w:lang w:val="pt-PT"/>
        </w:rPr>
        <w:t xml:space="preserve">statísticas externas, </w:t>
      </w:r>
      <w:r w:rsidR="00501240">
        <w:rPr>
          <w:rFonts w:ascii="Garamond" w:hAnsi="Garamond"/>
          <w:sz w:val="24"/>
          <w:szCs w:val="24"/>
          <w:lang w:val="pt-PT"/>
        </w:rPr>
        <w:t>E</w:t>
      </w:r>
      <w:r>
        <w:rPr>
          <w:rFonts w:ascii="Garamond" w:hAnsi="Garamond"/>
          <w:sz w:val="24"/>
          <w:szCs w:val="24"/>
          <w:lang w:val="pt-PT"/>
        </w:rPr>
        <w:t xml:space="preserve">statísticas da globalização, </w:t>
      </w:r>
      <w:r w:rsidR="00501240">
        <w:rPr>
          <w:rFonts w:ascii="Garamond" w:hAnsi="Garamond"/>
          <w:sz w:val="24"/>
          <w:szCs w:val="24"/>
          <w:lang w:val="pt-PT"/>
        </w:rPr>
        <w:t>E</w:t>
      </w:r>
      <w:r>
        <w:rPr>
          <w:rFonts w:ascii="Garamond" w:hAnsi="Garamond"/>
          <w:sz w:val="24"/>
          <w:szCs w:val="24"/>
          <w:lang w:val="pt-PT"/>
        </w:rPr>
        <w:t xml:space="preserve">ndividamento do setor não financeiro, </w:t>
      </w:r>
      <w:r w:rsidR="00501240">
        <w:rPr>
          <w:rFonts w:ascii="Garamond" w:hAnsi="Garamond"/>
          <w:sz w:val="24"/>
          <w:szCs w:val="24"/>
          <w:lang w:val="pt-PT"/>
        </w:rPr>
        <w:t>A</w:t>
      </w:r>
      <w:r>
        <w:rPr>
          <w:rFonts w:ascii="Garamond" w:hAnsi="Garamond"/>
          <w:sz w:val="24"/>
          <w:szCs w:val="24"/>
          <w:lang w:val="pt-PT"/>
        </w:rPr>
        <w:t xml:space="preserve">dministrações públicas, </w:t>
      </w:r>
      <w:r w:rsidR="00501240">
        <w:rPr>
          <w:rFonts w:ascii="Garamond" w:hAnsi="Garamond"/>
          <w:sz w:val="24"/>
          <w:szCs w:val="24"/>
          <w:lang w:val="pt-PT"/>
        </w:rPr>
        <w:t>E</w:t>
      </w:r>
      <w:r>
        <w:rPr>
          <w:rFonts w:ascii="Garamond" w:hAnsi="Garamond"/>
          <w:sz w:val="24"/>
          <w:szCs w:val="24"/>
          <w:lang w:val="pt-PT"/>
        </w:rPr>
        <w:t xml:space="preserve">mpresas da central de balanços, </w:t>
      </w:r>
      <w:r w:rsidR="00501240">
        <w:rPr>
          <w:rFonts w:ascii="Garamond" w:hAnsi="Garamond"/>
          <w:sz w:val="24"/>
          <w:szCs w:val="24"/>
          <w:lang w:val="pt-PT"/>
        </w:rPr>
        <w:t>C</w:t>
      </w:r>
      <w:r>
        <w:rPr>
          <w:rFonts w:ascii="Garamond" w:hAnsi="Garamond"/>
          <w:sz w:val="24"/>
          <w:szCs w:val="24"/>
          <w:lang w:val="pt-PT"/>
        </w:rPr>
        <w:t xml:space="preserve">âmbios, </w:t>
      </w:r>
      <w:r w:rsidR="00501240">
        <w:rPr>
          <w:rFonts w:ascii="Garamond" w:hAnsi="Garamond"/>
          <w:sz w:val="24"/>
          <w:szCs w:val="24"/>
          <w:lang w:val="pt-PT"/>
        </w:rPr>
        <w:t>S</w:t>
      </w:r>
      <w:r>
        <w:rPr>
          <w:rFonts w:ascii="Garamond" w:hAnsi="Garamond"/>
          <w:sz w:val="24"/>
          <w:szCs w:val="24"/>
          <w:lang w:val="pt-PT"/>
        </w:rPr>
        <w:t xml:space="preserve">istemas e instrumentos de pagamento, </w:t>
      </w:r>
      <w:r w:rsidR="00501240">
        <w:rPr>
          <w:rFonts w:ascii="Garamond" w:hAnsi="Garamond"/>
          <w:sz w:val="24"/>
          <w:szCs w:val="24"/>
          <w:lang w:val="pt-PT"/>
        </w:rPr>
        <w:t>E</w:t>
      </w:r>
      <w:r>
        <w:rPr>
          <w:rFonts w:ascii="Garamond" w:hAnsi="Garamond"/>
          <w:sz w:val="24"/>
          <w:szCs w:val="24"/>
          <w:lang w:val="pt-PT"/>
        </w:rPr>
        <w:t xml:space="preserve">missão monetária, </w:t>
      </w:r>
      <w:r w:rsidR="00501240">
        <w:rPr>
          <w:rFonts w:ascii="Garamond" w:hAnsi="Garamond"/>
          <w:sz w:val="24"/>
          <w:szCs w:val="24"/>
          <w:lang w:val="pt-PT"/>
        </w:rPr>
        <w:t>C</w:t>
      </w:r>
      <w:r>
        <w:rPr>
          <w:rFonts w:ascii="Garamond" w:hAnsi="Garamond"/>
          <w:sz w:val="24"/>
          <w:szCs w:val="24"/>
          <w:lang w:val="pt-PT"/>
        </w:rPr>
        <w:t xml:space="preserve">ontas nacionais, </w:t>
      </w:r>
      <w:r w:rsidR="00501240">
        <w:rPr>
          <w:rFonts w:ascii="Garamond" w:hAnsi="Garamond"/>
          <w:sz w:val="24"/>
          <w:szCs w:val="24"/>
          <w:lang w:val="pt-PT"/>
        </w:rPr>
        <w:t>I</w:t>
      </w:r>
      <w:r>
        <w:rPr>
          <w:rFonts w:ascii="Garamond" w:hAnsi="Garamond"/>
          <w:sz w:val="24"/>
          <w:szCs w:val="24"/>
          <w:lang w:val="pt-PT"/>
        </w:rPr>
        <w:t xml:space="preserve">ndicadores de estabilidade financeira, </w:t>
      </w:r>
      <w:r w:rsidR="00501240">
        <w:rPr>
          <w:rFonts w:ascii="Garamond" w:hAnsi="Garamond"/>
          <w:sz w:val="24"/>
          <w:szCs w:val="24"/>
          <w:lang w:val="pt-PT"/>
        </w:rPr>
        <w:t>I</w:t>
      </w:r>
      <w:r>
        <w:rPr>
          <w:rFonts w:ascii="Garamond" w:hAnsi="Garamond"/>
          <w:sz w:val="24"/>
          <w:szCs w:val="24"/>
          <w:lang w:val="pt-PT"/>
        </w:rPr>
        <w:t xml:space="preserve">ndicadores de atividade económica, </w:t>
      </w:r>
      <w:r w:rsidR="00501240">
        <w:rPr>
          <w:rFonts w:ascii="Garamond" w:hAnsi="Garamond"/>
          <w:sz w:val="24"/>
          <w:szCs w:val="24"/>
          <w:lang w:val="pt-PT"/>
        </w:rPr>
        <w:t>P</w:t>
      </w:r>
      <w:r>
        <w:rPr>
          <w:rFonts w:ascii="Garamond" w:hAnsi="Garamond"/>
          <w:sz w:val="24"/>
          <w:szCs w:val="24"/>
          <w:lang w:val="pt-PT"/>
        </w:rPr>
        <w:t xml:space="preserve">opulação e mercado de trabalho, e </w:t>
      </w:r>
      <w:r w:rsidR="00501240">
        <w:rPr>
          <w:rFonts w:ascii="Garamond" w:hAnsi="Garamond"/>
          <w:sz w:val="24"/>
          <w:szCs w:val="24"/>
          <w:lang w:val="pt-PT"/>
        </w:rPr>
        <w:t>P</w:t>
      </w:r>
      <w:r>
        <w:rPr>
          <w:rFonts w:ascii="Garamond" w:hAnsi="Garamond"/>
          <w:sz w:val="24"/>
          <w:szCs w:val="24"/>
          <w:lang w:val="pt-PT"/>
        </w:rPr>
        <w:t>reços.</w:t>
      </w:r>
    </w:p>
    <w:p w14:paraId="2002DB8A" w14:textId="0005878E" w:rsidR="0093477F" w:rsidRDefault="005012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Alguns dos domínios principais, como Informação sobre o sistema bancário, Endividamento do setor não financeiro e Empresas da central de balanços, não possuem subdomínios, com os conteúdos de </w:t>
      </w:r>
      <w:proofErr w:type="spellStart"/>
      <w:r>
        <w:rPr>
          <w:rFonts w:ascii="Garamond" w:hAnsi="Garamond"/>
          <w:sz w:val="24"/>
          <w:szCs w:val="24"/>
          <w:lang w:val="pt-PT"/>
        </w:rPr>
        <w:t>metainformação</w:t>
      </w:r>
      <w:proofErr w:type="spellEnd"/>
      <w:r>
        <w:rPr>
          <w:rFonts w:ascii="Garamond" w:hAnsi="Garamond"/>
          <w:sz w:val="24"/>
          <w:szCs w:val="24"/>
          <w:lang w:val="pt-PT"/>
        </w:rPr>
        <w:t>, legislação e afins registrados neste domínio principal em questão. No caso deste último, ele é um domínio que contém todas as informações metodológicas disponíveis em sua “árvore”.</w:t>
      </w:r>
      <w:r w:rsidR="00A80901">
        <w:rPr>
          <w:rFonts w:ascii="Garamond" w:hAnsi="Garamond"/>
          <w:sz w:val="24"/>
          <w:szCs w:val="24"/>
          <w:lang w:val="pt-PT"/>
        </w:rPr>
        <w:t xml:space="preserve"> (</w:t>
      </w:r>
      <w:proofErr w:type="spellStart"/>
      <w:r w:rsidR="00A80901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A80901">
        <w:rPr>
          <w:rFonts w:ascii="Garamond" w:hAnsi="Garamond"/>
          <w:sz w:val="24"/>
          <w:szCs w:val="24"/>
          <w:lang w:val="pt-PT"/>
        </w:rPr>
        <w:t>, 2020)</w:t>
      </w:r>
    </w:p>
    <w:p w14:paraId="18080DD9" w14:textId="77777777" w:rsidR="00AB531C" w:rsidRDefault="005012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A “</w:t>
      </w:r>
      <w:proofErr w:type="spellStart"/>
      <w:r>
        <w:rPr>
          <w:rFonts w:ascii="Garamond" w:hAnsi="Garamond"/>
          <w:sz w:val="24"/>
          <w:szCs w:val="24"/>
          <w:lang w:val="pt-PT"/>
        </w:rPr>
        <w:t>Metainformação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 do domínio” possui três seções: A – Enquadramento legal e institucional, B – Processo de produção estatística e C – Resultados de elevada qualidade. A </w:t>
      </w:r>
      <w:proofErr w:type="gramStart"/>
      <w:r>
        <w:rPr>
          <w:rFonts w:ascii="Garamond" w:hAnsi="Garamond"/>
          <w:sz w:val="24"/>
          <w:szCs w:val="24"/>
          <w:lang w:val="pt-PT"/>
        </w:rPr>
        <w:t>seção A</w:t>
      </w:r>
      <w:proofErr w:type="gramEnd"/>
      <w:r>
        <w:rPr>
          <w:rFonts w:ascii="Garamond" w:hAnsi="Garamond"/>
          <w:sz w:val="24"/>
          <w:szCs w:val="24"/>
          <w:lang w:val="pt-PT"/>
        </w:rPr>
        <w:t xml:space="preserve"> trata do arranjo legal e institucional que rege a produção das estatísticas relacionadas ao domínio ou subdomínio em questão. A seção B possui as subseções Enquadramento Metodológico, que discorre sobre a metodologia usada na compilação estatística, e Fonte e procedimentos estatísticos que fala sobre onde os dados foram extraídos, e o tratamento dados aos mesmos.</w:t>
      </w:r>
    </w:p>
    <w:p w14:paraId="12B08CDB" w14:textId="64A4682B" w:rsidR="00501240" w:rsidRDefault="005012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Já a seção C tem as subseções Precisão, fiabilidade e atualidade dos dados, Coerência e comparabilidade, e Acessibilidade e clareza, que </w:t>
      </w:r>
      <w:r w:rsidR="00AB531C">
        <w:rPr>
          <w:rFonts w:ascii="Garamond" w:hAnsi="Garamond"/>
          <w:sz w:val="24"/>
          <w:szCs w:val="24"/>
          <w:lang w:val="pt-PT"/>
        </w:rPr>
        <w:t>expõem respetivamente as práticas de garantia de precisão e atualidade das estatísticas compiladas sob o domínio ou subdomínio em questão, sua coerência e comparabilidade interna e externa, e mais informações quanto a como os dados são angariados, do que os mesmos se tratam, métricas, entre outras informações que fornecem maiores detalhes quanto ao tratamento estatístico dado às estatísticas.</w:t>
      </w:r>
      <w:r w:rsidR="00A80901">
        <w:rPr>
          <w:rFonts w:ascii="Garamond" w:hAnsi="Garamond"/>
          <w:sz w:val="24"/>
          <w:szCs w:val="24"/>
          <w:lang w:val="pt-PT"/>
        </w:rPr>
        <w:t xml:space="preserve"> (</w:t>
      </w:r>
      <w:proofErr w:type="spellStart"/>
      <w:r w:rsidR="00A80901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A80901">
        <w:rPr>
          <w:rFonts w:ascii="Garamond" w:hAnsi="Garamond"/>
          <w:sz w:val="24"/>
          <w:szCs w:val="24"/>
          <w:lang w:val="pt-PT"/>
        </w:rPr>
        <w:t>, 2020)</w:t>
      </w:r>
    </w:p>
    <w:p w14:paraId="0CA12504" w14:textId="6A5C9FBA" w:rsidR="00A80901" w:rsidRPr="00EA4D03" w:rsidRDefault="00A80901" w:rsidP="00B2568D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pt-PT"/>
        </w:rPr>
        <w:t xml:space="preserve">A legislação de enquadramento, quando aplicável, lista as leis, orientações, decisões, regulamentos e decretos que regem o processo de obtenção, tratamento e divulgação das estatísticas. Entre as instituições que exercem regência sobre estas legislações, incluem-se o próprio Banco de Portugal, o Banco Central Europeu, a União Europeia, e a </w:t>
      </w:r>
      <w:r w:rsidRPr="00A80901">
        <w:rPr>
          <w:rFonts w:ascii="Garamond" w:hAnsi="Garamond"/>
          <w:sz w:val="24"/>
          <w:szCs w:val="24"/>
          <w:lang w:val="pt-PT"/>
        </w:rPr>
        <w:t>Comissão do Mercado de Valores Mobiliários</w:t>
      </w:r>
      <w:r w:rsidR="00EA4D03">
        <w:rPr>
          <w:rFonts w:ascii="Garamond" w:hAnsi="Garamond"/>
          <w:sz w:val="24"/>
          <w:szCs w:val="24"/>
          <w:lang w:val="pt-PT"/>
        </w:rPr>
        <w:t xml:space="preserve">, com um conjunto de legislações que servem de base para as estatísticas de </w:t>
      </w:r>
      <w:r w:rsidR="00EA4D03" w:rsidRPr="00EA4D03">
        <w:rPr>
          <w:rFonts w:ascii="Garamond" w:hAnsi="Garamond"/>
          <w:sz w:val="24"/>
          <w:szCs w:val="24"/>
          <w:lang w:val="pt-PT"/>
        </w:rPr>
        <w:t>Balanço dos outros intermediários financeiros, auxiliares financeiros e instituições financeiras cativas e prestamistas</w:t>
      </w:r>
      <w:r w:rsidR="00EA4D03">
        <w:rPr>
          <w:rFonts w:ascii="Garamond" w:hAnsi="Garamond"/>
          <w:sz w:val="24"/>
          <w:szCs w:val="24"/>
          <w:lang w:val="pt-PT"/>
        </w:rPr>
        <w:t>.</w:t>
      </w:r>
    </w:p>
    <w:p w14:paraId="496357D9" w14:textId="02A5BF31" w:rsidR="00A80901" w:rsidRDefault="00A80901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lastRenderedPageBreak/>
        <w:t xml:space="preserve">Nomenclaturas e manuais possuem </w:t>
      </w:r>
      <w:r w:rsidR="00EA4D03">
        <w:rPr>
          <w:rFonts w:ascii="Garamond" w:hAnsi="Garamond"/>
          <w:sz w:val="24"/>
          <w:szCs w:val="24"/>
          <w:lang w:val="pt-PT"/>
        </w:rPr>
        <w:t xml:space="preserve">guias de várias agências internacionais para auxiliar no esmiuçamento das estatísticas compilados pelo </w:t>
      </w:r>
      <w:proofErr w:type="spellStart"/>
      <w:r w:rsidR="00EA4D03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EA4D03">
        <w:rPr>
          <w:rFonts w:ascii="Garamond" w:hAnsi="Garamond"/>
          <w:sz w:val="24"/>
          <w:szCs w:val="24"/>
          <w:lang w:val="pt-PT"/>
        </w:rPr>
        <w:t>. Aqui incluem-se manuais do Fundo Monetário Internacional, da Organização das Nações Unidas, do Banco Central Europeu e do Banco de Portugal para auxiliar no registro de informações sobre a Balança de pagamentos portuguesa.</w:t>
      </w:r>
    </w:p>
    <w:p w14:paraId="2BA47D57" w14:textId="17CC7113" w:rsidR="00D22653" w:rsidRDefault="00D22653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Os Suplementos são geralmente notas metodológicas históricas para alguns dos domínios e subdomínios do </w:t>
      </w:r>
      <w:proofErr w:type="spellStart"/>
      <w:r>
        <w:rPr>
          <w:rFonts w:ascii="Garamond" w:hAnsi="Garamond"/>
          <w:sz w:val="24"/>
          <w:szCs w:val="24"/>
          <w:lang w:val="pt-PT"/>
        </w:rPr>
        <w:t>BPstat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, como Dívida pública. </w:t>
      </w:r>
      <w:proofErr w:type="gramStart"/>
      <w:r w:rsidR="00ED0E73">
        <w:rPr>
          <w:rFonts w:ascii="Garamond" w:hAnsi="Garamond"/>
          <w:sz w:val="24"/>
          <w:szCs w:val="24"/>
          <w:lang w:val="pt-PT"/>
        </w:rPr>
        <w:t>Estes contém</w:t>
      </w:r>
      <w:proofErr w:type="gramEnd"/>
      <w:r>
        <w:rPr>
          <w:rFonts w:ascii="Garamond" w:hAnsi="Garamond"/>
          <w:sz w:val="24"/>
          <w:szCs w:val="24"/>
          <w:lang w:val="pt-PT"/>
        </w:rPr>
        <w:t xml:space="preserve"> informações sobre o enquadramento metodológico do domínio em questão, além de apresentar alguns resultados do processo de compilação e tratamento de dados à época de produção destes suplementos, e a bibliografia de suporte dos documentos</w:t>
      </w:r>
      <w:r w:rsidR="00ED0E73">
        <w:rPr>
          <w:rFonts w:ascii="Garamond" w:hAnsi="Garamond"/>
          <w:sz w:val="24"/>
          <w:szCs w:val="24"/>
          <w:lang w:val="pt-PT"/>
        </w:rPr>
        <w:t xml:space="preserve"> (Banco de Portugal, 2016)</w:t>
      </w:r>
      <w:r>
        <w:rPr>
          <w:rFonts w:ascii="Garamond" w:hAnsi="Garamond"/>
          <w:sz w:val="24"/>
          <w:szCs w:val="24"/>
          <w:lang w:val="pt-PT"/>
        </w:rPr>
        <w:t>.</w:t>
      </w:r>
    </w:p>
    <w:p w14:paraId="3419FB08" w14:textId="5BE12EE0" w:rsidR="00354CFB" w:rsidRPr="00ED0E73" w:rsidRDefault="00354CFB" w:rsidP="00B2568D">
      <w:pPr>
        <w:spacing w:line="36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  <w:lang w:val="pt-PT"/>
        </w:rPr>
        <w:t>Papers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/Artigos trazem </w:t>
      </w:r>
      <w:r w:rsidR="00426711">
        <w:rPr>
          <w:rFonts w:ascii="Garamond" w:hAnsi="Garamond"/>
          <w:sz w:val="24"/>
          <w:szCs w:val="24"/>
          <w:lang w:val="pt-PT"/>
        </w:rPr>
        <w:t>estudos sobre os dados divulgados em um domínio/subdomínio quanto a sua metodologia, extração, divulgação (Banco de Portugal, 2010) e importância d</w:t>
      </w:r>
      <w:r w:rsidR="00ED0E73">
        <w:rPr>
          <w:rFonts w:ascii="Garamond" w:hAnsi="Garamond"/>
          <w:sz w:val="24"/>
          <w:szCs w:val="24"/>
          <w:lang w:val="pt-PT"/>
        </w:rPr>
        <w:t>os dados e de sua</w:t>
      </w:r>
      <w:r w:rsidR="00426711">
        <w:rPr>
          <w:rFonts w:ascii="Garamond" w:hAnsi="Garamond"/>
          <w:sz w:val="24"/>
          <w:szCs w:val="24"/>
          <w:lang w:val="pt-PT"/>
        </w:rPr>
        <w:t xml:space="preserve"> análise</w:t>
      </w:r>
      <w:r w:rsidR="00ED0E73">
        <w:rPr>
          <w:rFonts w:ascii="Garamond" w:hAnsi="Garamond"/>
          <w:sz w:val="24"/>
          <w:szCs w:val="24"/>
          <w:lang w:val="pt-PT"/>
        </w:rPr>
        <w:t xml:space="preserve"> subsequente (Banco Central Europeu, 2018). A seção divulga também publicações do Banco de Portugal que lançam mão das estatísticas divulgadas via </w:t>
      </w:r>
      <w:proofErr w:type="spellStart"/>
      <w:r w:rsidR="00ED0E73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ED0E73">
        <w:rPr>
          <w:rFonts w:ascii="Garamond" w:hAnsi="Garamond"/>
          <w:sz w:val="24"/>
          <w:szCs w:val="24"/>
          <w:lang w:val="pt-PT"/>
        </w:rPr>
        <w:t xml:space="preserve">, como </w:t>
      </w:r>
      <w:r w:rsidR="00ED0E73" w:rsidRPr="00ED0E73">
        <w:rPr>
          <w:rFonts w:ascii="Garamond" w:hAnsi="Garamond"/>
          <w:sz w:val="24"/>
          <w:szCs w:val="24"/>
          <w:lang w:val="pt-PT"/>
        </w:rPr>
        <w:t>Sistemas e instrumentos de pagamento</w:t>
      </w:r>
      <w:r w:rsidR="00ED0E73">
        <w:rPr>
          <w:rFonts w:ascii="Garamond" w:hAnsi="Garamond"/>
          <w:sz w:val="24"/>
          <w:szCs w:val="24"/>
          <w:lang w:val="pt-PT"/>
        </w:rPr>
        <w:t>. (Banco de Portugal, 2020)</w:t>
      </w:r>
    </w:p>
    <w:p w14:paraId="05B19793" w14:textId="0910877F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5A2AC33D" w14:textId="705C8D3B" w:rsidR="0029721A" w:rsidRDefault="0029721A" w:rsidP="00B2568D">
      <w:pPr>
        <w:pStyle w:val="Heading1"/>
        <w:spacing w:before="0" w:line="360" w:lineRule="auto"/>
        <w:rPr>
          <w:lang w:val="pt-PT"/>
        </w:rPr>
      </w:pPr>
      <w:r>
        <w:rPr>
          <w:lang w:val="pt-PT"/>
        </w:rPr>
        <w:t>Qual é a importância dos dados disponíveis?</w:t>
      </w:r>
    </w:p>
    <w:p w14:paraId="29A30B2B" w14:textId="6EF0387A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10B38195" w14:textId="517EDBEA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0AC76EFC" w14:textId="1FF97E42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416D731B" w14:textId="1EE5B771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6DBB1B5A" w14:textId="38975333" w:rsidR="0029721A" w:rsidRDefault="0029721A" w:rsidP="00B2568D">
      <w:pPr>
        <w:pStyle w:val="Heading1"/>
        <w:spacing w:before="0" w:line="360" w:lineRule="auto"/>
        <w:rPr>
          <w:lang w:val="pt-PT"/>
        </w:rPr>
      </w:pPr>
      <w:r>
        <w:rPr>
          <w:lang w:val="pt-PT"/>
        </w:rPr>
        <w:t>Como estes dados podem ser úteis para a análise econômica?</w:t>
      </w:r>
    </w:p>
    <w:p w14:paraId="205FABF6" w14:textId="1154CD71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7D5A300E" w14:textId="07F27849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7BFD2AE9" w14:textId="3A6414CC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2C7E9C2B" w14:textId="77777777" w:rsidR="0029721A" w:rsidRPr="00B2568D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sectPr w:rsidR="0029721A" w:rsidRPr="00B2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A"/>
    <w:rsid w:val="00040543"/>
    <w:rsid w:val="00187C4B"/>
    <w:rsid w:val="0029721A"/>
    <w:rsid w:val="00354CFB"/>
    <w:rsid w:val="00426711"/>
    <w:rsid w:val="00501240"/>
    <w:rsid w:val="005A73AB"/>
    <w:rsid w:val="0093477F"/>
    <w:rsid w:val="00A80901"/>
    <w:rsid w:val="00AB531C"/>
    <w:rsid w:val="00B2568D"/>
    <w:rsid w:val="00B46D30"/>
    <w:rsid w:val="00CE7898"/>
    <w:rsid w:val="00D22653"/>
    <w:rsid w:val="00DA0740"/>
    <w:rsid w:val="00EA4D03"/>
    <w:rsid w:val="00E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02DB"/>
  <w15:chartTrackingRefBased/>
  <w15:docId w15:val="{49DC8DA1-24B6-4BFD-B69D-5B2F9BC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1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995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Miranda</dc:creator>
  <cp:keywords/>
  <dc:description/>
  <cp:lastModifiedBy>Fellipe Miranda</cp:lastModifiedBy>
  <cp:revision>7</cp:revision>
  <dcterms:created xsi:type="dcterms:W3CDTF">2020-10-15T07:53:00Z</dcterms:created>
  <dcterms:modified xsi:type="dcterms:W3CDTF">2020-10-15T09:36:00Z</dcterms:modified>
</cp:coreProperties>
</file>